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89135" w14:textId="77777777" w:rsidR="00C23F80" w:rsidRDefault="00000000">
      <w:pPr>
        <w:spacing w:before="200" w:after="200"/>
        <w:rPr>
          <w:color w:val="1D1C1D"/>
        </w:rPr>
      </w:pPr>
      <w:r>
        <w:rPr>
          <w:color w:val="1D1C1D"/>
        </w:rPr>
        <w:t>VULCAN WERKE</w:t>
      </w:r>
    </w:p>
    <w:p w14:paraId="049789A1" w14:textId="77777777" w:rsidR="00C23F80" w:rsidRDefault="00000000">
      <w:pPr>
        <w:spacing w:before="200" w:after="200"/>
        <w:rPr>
          <w:color w:val="1D1C1D"/>
        </w:rPr>
      </w:pPr>
      <w:r>
        <w:rPr>
          <w:color w:val="1D1C1D"/>
        </w:rPr>
        <w:t>Problem Statement and Solution Design</w:t>
      </w:r>
    </w:p>
    <w:p w14:paraId="4487A421" w14:textId="77777777" w:rsidR="00C23F80" w:rsidRDefault="00000000">
      <w:r>
        <w:t>Vulcan Werke struggles with fragmented data spread across multiple systems that do not communicate with each other. Critical production, quality, and operational information is difficult to access, and much of the knowledge about where data is stored depends on a single employee.</w:t>
      </w:r>
    </w:p>
    <w:p w14:paraId="22B05A23" w14:textId="77777777" w:rsidR="00C23F80" w:rsidRDefault="00000000">
      <w:pPr>
        <w:spacing w:before="240" w:after="240"/>
      </w:pPr>
      <w:r>
        <w:t>As a result, production issues and quality deviations are identified too late, rework costs increase, and reporting for management, customers, and certifications requires significant manual effort. The lack of consistent and reliable data also makes it difficult to investigate root causes, prove improvements, and make informed operational decisions.</w:t>
      </w:r>
    </w:p>
    <w:p w14:paraId="627EA384" w14:textId="77777777" w:rsidR="00C23F80" w:rsidRDefault="00000000">
      <w:pPr>
        <w:spacing w:before="240" w:after="240"/>
      </w:pPr>
      <w:r>
        <w:t>Our solution is to create a centralized data platform that integrates information from all relevant systems into a single, reliable source of truth. By connecting production, quality, and operational data, Vulcan Works gains real-time visibility into performance, faster identification of issues and root causes, and automated reporting capabilities. This reduces manual effort, lowers rework costs, and enables data-driven decision-making across the organization.</w:t>
      </w:r>
    </w:p>
    <w:p w14:paraId="2F53DEA3" w14:textId="77777777" w:rsidR="00C23F80" w:rsidRDefault="00C23F80">
      <w:pPr>
        <w:spacing w:before="240" w:after="240"/>
      </w:pPr>
    </w:p>
    <w:tbl>
      <w:tblPr>
        <w:tblStyle w:val="a"/>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28"/>
        <w:gridCol w:w="3627"/>
        <w:gridCol w:w="4205"/>
      </w:tblGrid>
      <w:tr w:rsidR="00C23F80" w14:paraId="0BE39837" w14:textId="77777777">
        <w:trPr>
          <w:trHeight w:val="585"/>
        </w:trPr>
        <w:tc>
          <w:tcPr>
            <w:tcW w:w="1528" w:type="dxa"/>
            <w:tcBorders>
              <w:top w:val="single" w:sz="6" w:space="0" w:color="D0D0D0"/>
              <w:left w:val="single" w:sz="6" w:space="0" w:color="D0D0D0"/>
              <w:bottom w:val="single" w:sz="6" w:space="0" w:color="D0D0D0"/>
              <w:right w:val="single" w:sz="6" w:space="0" w:color="D0D0D0"/>
            </w:tcBorders>
            <w:shd w:val="clear" w:color="auto" w:fill="1C2340"/>
            <w:tcMar>
              <w:top w:w="140" w:type="dxa"/>
              <w:left w:w="180" w:type="dxa"/>
              <w:bottom w:w="140" w:type="dxa"/>
              <w:right w:w="180" w:type="dxa"/>
            </w:tcMar>
          </w:tcPr>
          <w:p w14:paraId="3F90EB55" w14:textId="77777777" w:rsidR="00C23F80" w:rsidRDefault="00000000">
            <w:pPr>
              <w:spacing w:after="40"/>
              <w:rPr>
                <w:b/>
                <w:bCs/>
                <w:color w:val="FFFFFF"/>
              </w:rPr>
            </w:pPr>
            <w:r>
              <w:rPr>
                <w:b/>
                <w:bCs/>
                <w:color w:val="FFFFFF"/>
              </w:rPr>
              <w:t>Persona</w:t>
            </w:r>
          </w:p>
        </w:tc>
        <w:tc>
          <w:tcPr>
            <w:tcW w:w="3626" w:type="dxa"/>
            <w:tcBorders>
              <w:top w:val="single" w:sz="6" w:space="0" w:color="D0D0D0"/>
              <w:left w:val="nil"/>
              <w:bottom w:val="single" w:sz="6" w:space="0" w:color="D0D0D0"/>
              <w:right w:val="single" w:sz="6" w:space="0" w:color="D0D0D0"/>
            </w:tcBorders>
            <w:shd w:val="clear" w:color="auto" w:fill="1C2340"/>
            <w:tcMar>
              <w:top w:w="140" w:type="dxa"/>
              <w:left w:w="180" w:type="dxa"/>
              <w:bottom w:w="140" w:type="dxa"/>
              <w:right w:w="180" w:type="dxa"/>
            </w:tcMar>
          </w:tcPr>
          <w:p w14:paraId="35A0E6BC" w14:textId="77777777" w:rsidR="00C23F80" w:rsidRDefault="00000000">
            <w:pPr>
              <w:spacing w:after="40"/>
              <w:rPr>
                <w:b/>
                <w:bCs/>
                <w:color w:val="FFFFFF"/>
              </w:rPr>
            </w:pPr>
            <w:r>
              <w:rPr>
                <w:b/>
                <w:bCs/>
                <w:color w:val="FFFFFF"/>
              </w:rPr>
              <w:t>Discovered pain point</w:t>
            </w:r>
          </w:p>
        </w:tc>
        <w:tc>
          <w:tcPr>
            <w:tcW w:w="4204" w:type="dxa"/>
            <w:tcBorders>
              <w:top w:val="single" w:sz="6" w:space="0" w:color="D0D0D0"/>
              <w:left w:val="nil"/>
              <w:bottom w:val="single" w:sz="6" w:space="0" w:color="D0D0D0"/>
              <w:right w:val="single" w:sz="6" w:space="0" w:color="D0D0D0"/>
            </w:tcBorders>
            <w:shd w:val="clear" w:color="auto" w:fill="1C2340"/>
            <w:tcMar>
              <w:top w:w="140" w:type="dxa"/>
              <w:left w:w="180" w:type="dxa"/>
              <w:bottom w:w="140" w:type="dxa"/>
              <w:right w:w="180" w:type="dxa"/>
            </w:tcMar>
          </w:tcPr>
          <w:p w14:paraId="78C07F61" w14:textId="77777777" w:rsidR="00C23F80" w:rsidRDefault="00000000">
            <w:pPr>
              <w:spacing w:after="40"/>
              <w:rPr>
                <w:b/>
                <w:bCs/>
                <w:color w:val="FFFFFF"/>
              </w:rPr>
            </w:pPr>
            <w:r>
              <w:rPr>
                <w:b/>
                <w:bCs/>
                <w:color w:val="FFFFFF"/>
              </w:rPr>
              <w:t>How it shapes the solution</w:t>
            </w:r>
          </w:p>
        </w:tc>
      </w:tr>
      <w:tr w:rsidR="00C23F80" w14:paraId="3DC69EE4" w14:textId="77777777">
        <w:trPr>
          <w:trHeight w:val="1815"/>
        </w:trPr>
        <w:tc>
          <w:tcPr>
            <w:tcW w:w="1528" w:type="dxa"/>
            <w:tcBorders>
              <w:top w:val="nil"/>
              <w:left w:val="single" w:sz="6" w:space="0" w:color="D0D0D0"/>
              <w:bottom w:val="single" w:sz="6" w:space="0" w:color="D0D0D0"/>
              <w:right w:val="single" w:sz="6" w:space="0" w:color="D0D0D0"/>
            </w:tcBorders>
            <w:shd w:val="clear" w:color="auto" w:fill="E8F1FB"/>
            <w:tcMar>
              <w:top w:w="140" w:type="dxa"/>
              <w:left w:w="180" w:type="dxa"/>
              <w:bottom w:w="140" w:type="dxa"/>
              <w:right w:w="180" w:type="dxa"/>
            </w:tcMar>
          </w:tcPr>
          <w:p w14:paraId="35531FB7" w14:textId="77777777" w:rsidR="00C23F80" w:rsidRDefault="00000000">
            <w:pPr>
              <w:spacing w:after="40"/>
              <w:rPr>
                <w:b/>
                <w:bCs/>
                <w:color w:val="0D3B6E"/>
              </w:rPr>
            </w:pPr>
            <w:r>
              <w:rPr>
                <w:b/>
                <w:bCs/>
                <w:color w:val="0D3B6E"/>
              </w:rPr>
              <w:t>Mira</w:t>
            </w:r>
          </w:p>
          <w:p w14:paraId="50F48FFD" w14:textId="77777777" w:rsidR="00C23F80" w:rsidRDefault="00000000">
            <w:pPr>
              <w:spacing w:after="40"/>
              <w:rPr>
                <w:color w:val="0D3B6E"/>
                <w:sz w:val="18"/>
                <w:szCs w:val="18"/>
              </w:rPr>
            </w:pPr>
            <w:r>
              <w:rPr>
                <w:color w:val="0D3B6E"/>
                <w:sz w:val="18"/>
                <w:szCs w:val="18"/>
              </w:rPr>
              <w:t>Production Manager</w:t>
            </w:r>
          </w:p>
        </w:tc>
        <w:tc>
          <w:tcPr>
            <w:tcW w:w="3626" w:type="dxa"/>
            <w:tcBorders>
              <w:top w:val="nil"/>
              <w:left w:val="nil"/>
              <w:bottom w:val="single" w:sz="6" w:space="0" w:color="D0D0D0"/>
              <w:right w:val="single" w:sz="6" w:space="0" w:color="D0D0D0"/>
            </w:tcBorders>
            <w:shd w:val="clear" w:color="auto" w:fill="FAFAFA"/>
            <w:tcMar>
              <w:top w:w="140" w:type="dxa"/>
              <w:left w:w="180" w:type="dxa"/>
              <w:bottom w:w="140" w:type="dxa"/>
              <w:right w:w="180" w:type="dxa"/>
            </w:tcMar>
          </w:tcPr>
          <w:p w14:paraId="5144B4F3" w14:textId="77777777" w:rsidR="00C23F80" w:rsidRDefault="00000000">
            <w:pPr>
              <w:spacing w:before="20" w:after="20"/>
              <w:ind w:left="600" w:hanging="260"/>
              <w:rPr>
                <w:color w:val="333333"/>
              </w:rPr>
            </w:pPr>
            <w:r>
              <w:t>–</w:t>
            </w:r>
            <w:r>
              <w:rPr>
                <w:rFonts w:ascii="Times New Roman" w:eastAsia="Times New Roman" w:hAnsi="Times New Roman" w:cs="Times New Roman"/>
                <w:sz w:val="14"/>
                <w:szCs w:val="14"/>
              </w:rPr>
              <w:t xml:space="preserve">    </w:t>
            </w:r>
            <w:r>
              <w:rPr>
                <w:color w:val="333333"/>
              </w:rPr>
              <w:t>Data from 5 systems arrives in different formats. Mira assembles it by hand before every report.</w:t>
            </w:r>
          </w:p>
          <w:p w14:paraId="53DEB886" w14:textId="77777777" w:rsidR="00C23F80" w:rsidRDefault="00000000">
            <w:pPr>
              <w:spacing w:before="20" w:after="20"/>
              <w:ind w:left="600" w:hanging="260"/>
              <w:rPr>
                <w:color w:val="333333"/>
              </w:rPr>
            </w:pPr>
            <w:r>
              <w:t>–</w:t>
            </w:r>
            <w:r>
              <w:rPr>
                <w:rFonts w:ascii="Times New Roman" w:eastAsia="Times New Roman" w:hAnsi="Times New Roman" w:cs="Times New Roman"/>
                <w:sz w:val="14"/>
                <w:szCs w:val="14"/>
              </w:rPr>
              <w:t xml:space="preserve">    </w:t>
            </w:r>
            <w:r>
              <w:rPr>
                <w:color w:val="333333"/>
              </w:rPr>
              <w:t>Outages and defects are found after the line has already stopped — fixing them costs more time and material than catching them early.</w:t>
            </w:r>
          </w:p>
          <w:p w14:paraId="2259DC40" w14:textId="77777777" w:rsidR="00C23F80" w:rsidRDefault="00000000">
            <w:pPr>
              <w:spacing w:before="20" w:after="20"/>
              <w:ind w:left="600" w:hanging="260"/>
              <w:rPr>
                <w:color w:val="333333"/>
              </w:rPr>
            </w:pPr>
            <w:r>
              <w:t>–</w:t>
            </w:r>
            <w:r>
              <w:rPr>
                <w:rFonts w:ascii="Times New Roman" w:eastAsia="Times New Roman" w:hAnsi="Times New Roman" w:cs="Times New Roman"/>
                <w:sz w:val="14"/>
                <w:szCs w:val="14"/>
              </w:rPr>
              <w:t xml:space="preserve">    </w:t>
            </w:r>
            <w:r>
              <w:rPr>
                <w:color w:val="333333"/>
              </w:rPr>
              <w:t>No live view of line performance. Crashes are reactive.</w:t>
            </w:r>
          </w:p>
        </w:tc>
        <w:tc>
          <w:tcPr>
            <w:tcW w:w="4204" w:type="dxa"/>
            <w:tcBorders>
              <w:top w:val="nil"/>
              <w:left w:val="nil"/>
              <w:bottom w:val="single" w:sz="6" w:space="0" w:color="D0D0D0"/>
              <w:right w:val="single" w:sz="6" w:space="0" w:color="D0D0D0"/>
            </w:tcBorders>
            <w:shd w:val="clear" w:color="auto" w:fill="FAFAFA"/>
            <w:tcMar>
              <w:top w:w="140" w:type="dxa"/>
              <w:left w:w="180" w:type="dxa"/>
              <w:bottom w:w="140" w:type="dxa"/>
              <w:right w:w="180" w:type="dxa"/>
            </w:tcMar>
          </w:tcPr>
          <w:p w14:paraId="6C63487B" w14:textId="77777777" w:rsidR="00C23F80" w:rsidRDefault="00000000">
            <w:pPr>
              <w:spacing w:before="20" w:after="20"/>
              <w:ind w:left="600" w:hanging="260"/>
              <w:rPr>
                <w:color w:val="333333"/>
              </w:rPr>
            </w:pPr>
            <w:r>
              <w:t>–</w:t>
            </w:r>
            <w:r>
              <w:rPr>
                <w:rFonts w:ascii="Times New Roman" w:eastAsia="Times New Roman" w:hAnsi="Times New Roman" w:cs="Times New Roman"/>
                <w:sz w:val="14"/>
                <w:szCs w:val="14"/>
              </w:rPr>
              <w:t xml:space="preserve">    </w:t>
            </w:r>
            <w:r>
              <w:rPr>
                <w:color w:val="333333"/>
              </w:rPr>
              <w:t>Real-time dashboard per line; alerts fire within seconds of a threshold breach.</w:t>
            </w:r>
          </w:p>
          <w:p w14:paraId="37E09098" w14:textId="77777777" w:rsidR="00C23F80" w:rsidRDefault="00000000">
            <w:pPr>
              <w:spacing w:before="20" w:after="20"/>
              <w:ind w:left="600" w:hanging="260"/>
              <w:rPr>
                <w:color w:val="333333"/>
              </w:rPr>
            </w:pPr>
            <w:r>
              <w:t>–</w:t>
            </w:r>
            <w:r>
              <w:rPr>
                <w:rFonts w:ascii="Times New Roman" w:eastAsia="Times New Roman" w:hAnsi="Times New Roman" w:cs="Times New Roman"/>
                <w:sz w:val="14"/>
                <w:szCs w:val="14"/>
              </w:rPr>
              <w:t xml:space="preserve">    </w:t>
            </w:r>
            <w:r>
              <w:rPr>
                <w:color w:val="333333"/>
              </w:rPr>
              <w:t>Shadow mode runs alongside production before go-live — alerts are tested without interrupting the floor.</w:t>
            </w:r>
          </w:p>
          <w:p w14:paraId="3D17DF13" w14:textId="77777777" w:rsidR="00C23F80" w:rsidRDefault="00000000">
            <w:pPr>
              <w:spacing w:before="20" w:after="20"/>
              <w:ind w:left="600" w:hanging="260"/>
              <w:rPr>
                <w:color w:val="333333"/>
              </w:rPr>
            </w:pPr>
            <w:r>
              <w:t>–</w:t>
            </w:r>
            <w:r>
              <w:rPr>
                <w:rFonts w:ascii="Times New Roman" w:eastAsia="Times New Roman" w:hAnsi="Times New Roman" w:cs="Times New Roman"/>
                <w:sz w:val="14"/>
                <w:szCs w:val="14"/>
              </w:rPr>
              <w:t xml:space="preserve">    </w:t>
            </w:r>
            <w:r>
              <w:rPr>
                <w:color w:val="333333"/>
              </w:rPr>
              <w:t>UI designed for fast response: alert, reason, action in 3 clicks.</w:t>
            </w:r>
          </w:p>
          <w:p w14:paraId="57D5BD28" w14:textId="77777777" w:rsidR="00C23F80" w:rsidRDefault="00000000">
            <w:pPr>
              <w:spacing w:before="20" w:after="20"/>
              <w:ind w:left="600" w:hanging="260"/>
              <w:rPr>
                <w:color w:val="333333"/>
              </w:rPr>
            </w:pPr>
            <w:r>
              <w:t>–</w:t>
            </w:r>
            <w:r>
              <w:rPr>
                <w:rFonts w:ascii="Times New Roman" w:eastAsia="Times New Roman" w:hAnsi="Times New Roman" w:cs="Times New Roman"/>
                <w:sz w:val="14"/>
                <w:szCs w:val="14"/>
              </w:rPr>
              <w:t xml:space="preserve">    </w:t>
            </w:r>
            <w:r>
              <w:rPr>
                <w:color w:val="333333"/>
              </w:rPr>
              <w:t>Pilot on 1 line first to show measurable ROI before expanding.</w:t>
            </w:r>
          </w:p>
        </w:tc>
      </w:tr>
      <w:tr w:rsidR="00C23F80" w14:paraId="2E4A8439" w14:textId="77777777">
        <w:trPr>
          <w:trHeight w:val="2040"/>
        </w:trPr>
        <w:tc>
          <w:tcPr>
            <w:tcW w:w="1528" w:type="dxa"/>
            <w:tcBorders>
              <w:top w:val="nil"/>
              <w:left w:val="single" w:sz="6" w:space="0" w:color="D0D0D0"/>
              <w:bottom w:val="single" w:sz="6" w:space="0" w:color="D0D0D0"/>
              <w:right w:val="single" w:sz="6" w:space="0" w:color="D0D0D0"/>
            </w:tcBorders>
            <w:shd w:val="clear" w:color="auto" w:fill="E6F5EE"/>
            <w:tcMar>
              <w:top w:w="140" w:type="dxa"/>
              <w:left w:w="180" w:type="dxa"/>
              <w:bottom w:w="140" w:type="dxa"/>
              <w:right w:w="180" w:type="dxa"/>
            </w:tcMar>
          </w:tcPr>
          <w:p w14:paraId="07CA783C" w14:textId="77777777" w:rsidR="00C23F80" w:rsidRDefault="00000000">
            <w:pPr>
              <w:spacing w:after="40"/>
              <w:rPr>
                <w:b/>
                <w:bCs/>
                <w:color w:val="0A4D2E"/>
              </w:rPr>
            </w:pPr>
            <w:r>
              <w:rPr>
                <w:b/>
                <w:bCs/>
                <w:color w:val="0A4D2E"/>
              </w:rPr>
              <w:t>Markus</w:t>
            </w:r>
          </w:p>
          <w:p w14:paraId="7D733C62" w14:textId="77777777" w:rsidR="00C23F80" w:rsidRDefault="00000000">
            <w:pPr>
              <w:spacing w:after="40"/>
              <w:rPr>
                <w:color w:val="0A4D2E"/>
                <w:sz w:val="18"/>
                <w:szCs w:val="18"/>
              </w:rPr>
            </w:pPr>
            <w:r>
              <w:rPr>
                <w:color w:val="0A4D2E"/>
                <w:sz w:val="18"/>
                <w:szCs w:val="18"/>
              </w:rPr>
              <w:t>IT / Shopfloor Tech</w:t>
            </w:r>
          </w:p>
        </w:tc>
        <w:tc>
          <w:tcPr>
            <w:tcW w:w="3626" w:type="dxa"/>
            <w:tcBorders>
              <w:top w:val="nil"/>
              <w:left w:val="nil"/>
              <w:bottom w:val="single" w:sz="6" w:space="0" w:color="D0D0D0"/>
              <w:right w:val="single" w:sz="6" w:space="0" w:color="D0D0D0"/>
            </w:tcBorders>
            <w:shd w:val="clear" w:color="auto" w:fill="FAFAFA"/>
            <w:tcMar>
              <w:top w:w="140" w:type="dxa"/>
              <w:left w:w="180" w:type="dxa"/>
              <w:bottom w:w="140" w:type="dxa"/>
              <w:right w:w="180" w:type="dxa"/>
            </w:tcMar>
          </w:tcPr>
          <w:p w14:paraId="48E06A58" w14:textId="77777777" w:rsidR="00C23F80" w:rsidRDefault="00000000">
            <w:pPr>
              <w:spacing w:before="20" w:after="20"/>
              <w:ind w:left="600" w:hanging="260"/>
              <w:rPr>
                <w:color w:val="333333"/>
              </w:rPr>
            </w:pPr>
            <w:r>
              <w:t>–</w:t>
            </w:r>
            <w:r>
              <w:rPr>
                <w:rFonts w:ascii="Times New Roman" w:eastAsia="Times New Roman" w:hAnsi="Times New Roman" w:cs="Times New Roman"/>
                <w:sz w:val="14"/>
                <w:szCs w:val="14"/>
              </w:rPr>
              <w:t xml:space="preserve">    </w:t>
            </w:r>
            <w:r>
              <w:rPr>
                <w:color w:val="333333"/>
              </w:rPr>
              <w:t>5 source databases, 3 on a separate DEV network with incompatible schemas. Integration is manual and sits entirely with Markus.</w:t>
            </w:r>
          </w:p>
          <w:p w14:paraId="645C9DA4" w14:textId="77777777" w:rsidR="00C23F80" w:rsidRDefault="00000000">
            <w:pPr>
              <w:spacing w:before="20" w:after="20"/>
              <w:ind w:left="600" w:hanging="260"/>
              <w:rPr>
                <w:color w:val="333333"/>
              </w:rPr>
            </w:pPr>
            <w:r>
              <w:t>–</w:t>
            </w:r>
            <w:r>
              <w:rPr>
                <w:rFonts w:ascii="Times New Roman" w:eastAsia="Times New Roman" w:hAnsi="Times New Roman" w:cs="Times New Roman"/>
                <w:sz w:val="14"/>
                <w:szCs w:val="14"/>
              </w:rPr>
              <w:t xml:space="preserve">    </w:t>
            </w:r>
            <w:r>
              <w:rPr>
                <w:color w:val="333333"/>
              </w:rPr>
              <w:t xml:space="preserve">Any external data transfer raises GDPR and NDA concerns. Raw machine </w:t>
            </w:r>
            <w:r>
              <w:rPr>
                <w:color w:val="333333"/>
              </w:rPr>
              <w:lastRenderedPageBreak/>
              <w:t>data can't leave the building.</w:t>
            </w:r>
          </w:p>
          <w:p w14:paraId="50187717" w14:textId="77777777" w:rsidR="00C23F80" w:rsidRDefault="00000000">
            <w:pPr>
              <w:spacing w:before="20" w:after="20"/>
              <w:ind w:left="600" w:hanging="260"/>
              <w:rPr>
                <w:color w:val="333333"/>
              </w:rPr>
            </w:pPr>
            <w:r>
              <w:t>–</w:t>
            </w:r>
            <w:r>
              <w:rPr>
                <w:rFonts w:ascii="Times New Roman" w:eastAsia="Times New Roman" w:hAnsi="Times New Roman" w:cs="Times New Roman"/>
                <w:sz w:val="14"/>
                <w:szCs w:val="14"/>
              </w:rPr>
              <w:t xml:space="preserve">    </w:t>
            </w:r>
            <w:r>
              <w:rPr>
                <w:color w:val="333333"/>
              </w:rPr>
              <w:t>Markus has refused cloud-based tools before. On-prem, read-only is a hard requirement.</w:t>
            </w:r>
          </w:p>
        </w:tc>
        <w:tc>
          <w:tcPr>
            <w:tcW w:w="4204" w:type="dxa"/>
            <w:tcBorders>
              <w:top w:val="nil"/>
              <w:left w:val="nil"/>
              <w:bottom w:val="single" w:sz="6" w:space="0" w:color="D0D0D0"/>
              <w:right w:val="single" w:sz="6" w:space="0" w:color="D0D0D0"/>
            </w:tcBorders>
            <w:shd w:val="clear" w:color="auto" w:fill="FAFAFA"/>
            <w:tcMar>
              <w:top w:w="140" w:type="dxa"/>
              <w:left w:w="180" w:type="dxa"/>
              <w:bottom w:w="140" w:type="dxa"/>
              <w:right w:w="180" w:type="dxa"/>
            </w:tcMar>
          </w:tcPr>
          <w:p w14:paraId="559D9761" w14:textId="77777777" w:rsidR="00C23F80" w:rsidRDefault="00000000">
            <w:pPr>
              <w:spacing w:before="20" w:after="20"/>
              <w:ind w:left="600" w:hanging="260"/>
              <w:rPr>
                <w:color w:val="333333"/>
              </w:rPr>
            </w:pPr>
            <w:r>
              <w:lastRenderedPageBreak/>
              <w:t>–</w:t>
            </w:r>
            <w:r>
              <w:rPr>
                <w:rFonts w:ascii="Times New Roman" w:eastAsia="Times New Roman" w:hAnsi="Times New Roman" w:cs="Times New Roman"/>
                <w:sz w:val="14"/>
                <w:szCs w:val="14"/>
              </w:rPr>
              <w:t xml:space="preserve">    </w:t>
            </w:r>
            <w:r>
              <w:rPr>
                <w:color w:val="333333"/>
              </w:rPr>
              <w:t>Read-only edge adapters per source — no write access, no schema changes to existing systems.</w:t>
            </w:r>
          </w:p>
          <w:p w14:paraId="19C53EE7" w14:textId="77777777" w:rsidR="00C23F80" w:rsidRDefault="00000000">
            <w:pPr>
              <w:spacing w:before="20" w:after="20"/>
              <w:ind w:left="600" w:hanging="260"/>
              <w:rPr>
                <w:color w:val="333333"/>
              </w:rPr>
            </w:pPr>
            <w:r>
              <w:t>–</w:t>
            </w:r>
            <w:r>
              <w:rPr>
                <w:rFonts w:ascii="Times New Roman" w:eastAsia="Times New Roman" w:hAnsi="Times New Roman" w:cs="Times New Roman"/>
                <w:sz w:val="14"/>
                <w:szCs w:val="14"/>
              </w:rPr>
              <w:t xml:space="preserve">    </w:t>
            </w:r>
            <w:r>
              <w:rPr>
                <w:color w:val="333333"/>
              </w:rPr>
              <w:t>Raw telemetry stays on-prem. Only aggregated signals go to the central store.</w:t>
            </w:r>
          </w:p>
          <w:p w14:paraId="3F0AF584" w14:textId="77777777" w:rsidR="00C23F80" w:rsidRDefault="00000000">
            <w:pPr>
              <w:spacing w:before="20" w:after="20"/>
              <w:ind w:left="600" w:hanging="260"/>
              <w:rPr>
                <w:color w:val="333333"/>
              </w:rPr>
            </w:pPr>
            <w:r>
              <w:t>–</w:t>
            </w:r>
            <w:r>
              <w:rPr>
                <w:rFonts w:ascii="Times New Roman" w:eastAsia="Times New Roman" w:hAnsi="Times New Roman" w:cs="Times New Roman"/>
                <w:sz w:val="14"/>
                <w:szCs w:val="14"/>
              </w:rPr>
              <w:t xml:space="preserve">    </w:t>
            </w:r>
            <w:r>
              <w:rPr>
                <w:color w:val="333333"/>
              </w:rPr>
              <w:t xml:space="preserve">Markus gets a connector management UI so he can add, </w:t>
            </w:r>
            <w:r>
              <w:rPr>
                <w:color w:val="333333"/>
              </w:rPr>
              <w:lastRenderedPageBreak/>
              <w:t>pause, and audit sources himself.</w:t>
            </w:r>
          </w:p>
          <w:p w14:paraId="22799B60" w14:textId="77777777" w:rsidR="00C23F80" w:rsidRDefault="00000000">
            <w:pPr>
              <w:spacing w:before="20" w:after="20"/>
              <w:ind w:left="600" w:hanging="260"/>
              <w:rPr>
                <w:color w:val="333333"/>
              </w:rPr>
            </w:pPr>
            <w:r>
              <w:t>–</w:t>
            </w:r>
            <w:r>
              <w:rPr>
                <w:rFonts w:ascii="Times New Roman" w:eastAsia="Times New Roman" w:hAnsi="Times New Roman" w:cs="Times New Roman"/>
                <w:sz w:val="14"/>
                <w:szCs w:val="14"/>
              </w:rPr>
              <w:t xml:space="preserve">    </w:t>
            </w:r>
            <w:r>
              <w:rPr>
                <w:color w:val="333333"/>
              </w:rPr>
              <w:t>Zero changes to existing production systems during rollout.</w:t>
            </w:r>
          </w:p>
        </w:tc>
      </w:tr>
      <w:tr w:rsidR="00C23F80" w14:paraId="371998D2" w14:textId="77777777">
        <w:trPr>
          <w:trHeight w:val="2505"/>
        </w:trPr>
        <w:tc>
          <w:tcPr>
            <w:tcW w:w="1528" w:type="dxa"/>
            <w:tcBorders>
              <w:top w:val="nil"/>
              <w:left w:val="single" w:sz="6" w:space="0" w:color="D0D0D0"/>
              <w:bottom w:val="single" w:sz="6" w:space="0" w:color="D0D0D0"/>
              <w:right w:val="single" w:sz="6" w:space="0" w:color="D0D0D0"/>
            </w:tcBorders>
            <w:shd w:val="clear" w:color="auto" w:fill="F2ECF9"/>
            <w:tcMar>
              <w:top w:w="140" w:type="dxa"/>
              <w:left w:w="180" w:type="dxa"/>
              <w:bottom w:w="140" w:type="dxa"/>
              <w:right w:w="180" w:type="dxa"/>
            </w:tcMar>
          </w:tcPr>
          <w:p w14:paraId="7BBF4A15" w14:textId="5534BEF8" w:rsidR="00C23F80" w:rsidRDefault="00000000">
            <w:pPr>
              <w:spacing w:after="40"/>
              <w:rPr>
                <w:b/>
                <w:bCs/>
                <w:color w:val="3D1A6E"/>
              </w:rPr>
            </w:pPr>
            <w:r>
              <w:rPr>
                <w:b/>
                <w:bCs/>
                <w:color w:val="3D1A6E"/>
              </w:rPr>
              <w:lastRenderedPageBreak/>
              <w:t>Ingrid</w:t>
            </w:r>
          </w:p>
          <w:p w14:paraId="7489FD7D" w14:textId="77777777" w:rsidR="00C23F80" w:rsidRDefault="00000000">
            <w:pPr>
              <w:spacing w:after="40"/>
              <w:rPr>
                <w:color w:val="3D1A6E"/>
                <w:sz w:val="18"/>
                <w:szCs w:val="18"/>
              </w:rPr>
            </w:pPr>
            <w:r>
              <w:rPr>
                <w:color w:val="3D1A6E"/>
                <w:sz w:val="18"/>
                <w:szCs w:val="18"/>
              </w:rPr>
              <w:t>Compliance &amp; QM</w:t>
            </w:r>
          </w:p>
        </w:tc>
        <w:tc>
          <w:tcPr>
            <w:tcW w:w="3626" w:type="dxa"/>
            <w:tcBorders>
              <w:top w:val="nil"/>
              <w:left w:val="nil"/>
              <w:bottom w:val="single" w:sz="6" w:space="0" w:color="D0D0D0"/>
              <w:right w:val="single" w:sz="6" w:space="0" w:color="D0D0D0"/>
            </w:tcBorders>
            <w:shd w:val="clear" w:color="auto" w:fill="FAFAFA"/>
            <w:tcMar>
              <w:top w:w="140" w:type="dxa"/>
              <w:left w:w="180" w:type="dxa"/>
              <w:bottom w:w="140" w:type="dxa"/>
              <w:right w:w="180" w:type="dxa"/>
            </w:tcMar>
          </w:tcPr>
          <w:p w14:paraId="6CCE99F8" w14:textId="77777777" w:rsidR="00C23F80" w:rsidRDefault="00000000">
            <w:pPr>
              <w:spacing w:before="20" w:after="20"/>
              <w:ind w:left="600" w:hanging="260"/>
              <w:rPr>
                <w:color w:val="333333"/>
              </w:rPr>
            </w:pPr>
            <w:r>
              <w:t>–</w:t>
            </w:r>
            <w:r>
              <w:rPr>
                <w:rFonts w:ascii="Times New Roman" w:eastAsia="Times New Roman" w:hAnsi="Times New Roman" w:cs="Times New Roman"/>
                <w:sz w:val="14"/>
                <w:szCs w:val="14"/>
              </w:rPr>
              <w:t xml:space="preserve">    </w:t>
            </w:r>
            <w:r>
              <w:rPr>
                <w:color w:val="333333"/>
              </w:rPr>
              <w:t>ISO 9001 audits require clean, timestamped records. Current data is hard to trace back to source.</w:t>
            </w:r>
          </w:p>
          <w:p w14:paraId="4CF5BF25" w14:textId="77777777" w:rsidR="00C23F80" w:rsidRDefault="00000000">
            <w:pPr>
              <w:spacing w:before="20" w:after="20"/>
              <w:ind w:left="600" w:hanging="260"/>
              <w:rPr>
                <w:color w:val="333333"/>
              </w:rPr>
            </w:pPr>
            <w:r>
              <w:t>–</w:t>
            </w:r>
            <w:r>
              <w:rPr>
                <w:rFonts w:ascii="Times New Roman" w:eastAsia="Times New Roman" w:hAnsi="Times New Roman" w:cs="Times New Roman"/>
                <w:sz w:val="14"/>
                <w:szCs w:val="14"/>
              </w:rPr>
              <w:t xml:space="preserve">    </w:t>
            </w:r>
            <w:r>
              <w:rPr>
                <w:color w:val="333333"/>
              </w:rPr>
              <w:t>Uncertain whether AI adds compliance risk rather than reducing it.</w:t>
            </w:r>
          </w:p>
          <w:p w14:paraId="0AB2D89E" w14:textId="77777777" w:rsidR="00C23F80" w:rsidRDefault="00000000">
            <w:pPr>
              <w:spacing w:before="20" w:after="20"/>
              <w:ind w:left="600" w:hanging="260"/>
              <w:rPr>
                <w:color w:val="333333"/>
              </w:rPr>
            </w:pPr>
            <w:r>
              <w:t>–</w:t>
            </w:r>
            <w:r>
              <w:rPr>
                <w:rFonts w:ascii="Times New Roman" w:eastAsia="Times New Roman" w:hAnsi="Times New Roman" w:cs="Times New Roman"/>
                <w:sz w:val="14"/>
                <w:szCs w:val="14"/>
              </w:rPr>
              <w:t xml:space="preserve">    </w:t>
            </w:r>
            <w:r>
              <w:rPr>
                <w:color w:val="333333"/>
              </w:rPr>
              <w:t>Log files and work-time data fall under employee protection — retention periods and masking are open questions.</w:t>
            </w:r>
          </w:p>
          <w:p w14:paraId="0A2CE7A3" w14:textId="77777777" w:rsidR="00C23F80" w:rsidRDefault="00000000">
            <w:pPr>
              <w:spacing w:before="20" w:after="20"/>
              <w:ind w:left="600" w:hanging="260"/>
              <w:rPr>
                <w:color w:val="333333"/>
              </w:rPr>
            </w:pPr>
            <w:r>
              <w:t>–</w:t>
            </w:r>
            <w:r>
              <w:rPr>
                <w:rFonts w:ascii="Times New Roman" w:eastAsia="Times New Roman" w:hAnsi="Times New Roman" w:cs="Times New Roman"/>
                <w:sz w:val="14"/>
                <w:szCs w:val="14"/>
              </w:rPr>
              <w:t xml:space="preserve">    </w:t>
            </w:r>
            <w:r>
              <w:rPr>
                <w:color w:val="333333"/>
              </w:rPr>
              <w:t>Every flagged incident needs a paper trail with a named human decision before escalation.</w:t>
            </w:r>
          </w:p>
        </w:tc>
        <w:tc>
          <w:tcPr>
            <w:tcW w:w="4204" w:type="dxa"/>
            <w:tcBorders>
              <w:top w:val="nil"/>
              <w:left w:val="nil"/>
              <w:bottom w:val="single" w:sz="6" w:space="0" w:color="D0D0D0"/>
              <w:right w:val="single" w:sz="6" w:space="0" w:color="D0D0D0"/>
            </w:tcBorders>
            <w:shd w:val="clear" w:color="auto" w:fill="FAFAFA"/>
            <w:tcMar>
              <w:top w:w="140" w:type="dxa"/>
              <w:left w:w="180" w:type="dxa"/>
              <w:bottom w:w="140" w:type="dxa"/>
              <w:right w:w="180" w:type="dxa"/>
            </w:tcMar>
          </w:tcPr>
          <w:p w14:paraId="77BF2191" w14:textId="77777777" w:rsidR="00C23F80" w:rsidRDefault="00000000">
            <w:pPr>
              <w:spacing w:before="20" w:after="20"/>
              <w:ind w:left="600" w:hanging="260"/>
              <w:rPr>
                <w:color w:val="333333"/>
              </w:rPr>
            </w:pPr>
            <w:r>
              <w:t>–</w:t>
            </w:r>
            <w:r>
              <w:rPr>
                <w:rFonts w:ascii="Times New Roman" w:eastAsia="Times New Roman" w:hAnsi="Times New Roman" w:cs="Times New Roman"/>
                <w:sz w:val="14"/>
                <w:szCs w:val="14"/>
              </w:rPr>
              <w:t xml:space="preserve">    </w:t>
            </w:r>
            <w:r>
              <w:rPr>
                <w:color w:val="333333"/>
              </w:rPr>
              <w:t>Immutable audit snapshots stored locally; records are redacted at ingestion where employee data is involved.</w:t>
            </w:r>
          </w:p>
          <w:p w14:paraId="7A77B135" w14:textId="77777777" w:rsidR="00C23F80" w:rsidRDefault="00000000">
            <w:pPr>
              <w:spacing w:before="20" w:after="20"/>
              <w:ind w:left="600" w:hanging="260"/>
              <w:rPr>
                <w:color w:val="333333"/>
              </w:rPr>
            </w:pPr>
            <w:r>
              <w:t>–</w:t>
            </w:r>
            <w:r>
              <w:rPr>
                <w:rFonts w:ascii="Times New Roman" w:eastAsia="Times New Roman" w:hAnsi="Times New Roman" w:cs="Times New Roman"/>
                <w:sz w:val="14"/>
                <w:szCs w:val="14"/>
              </w:rPr>
              <w:t xml:space="preserve">    </w:t>
            </w:r>
            <w:r>
              <w:rPr>
                <w:color w:val="333333"/>
              </w:rPr>
              <w:t>GDPR/DPIA and EU AI Act position documented in plain language before sign-off.</w:t>
            </w:r>
          </w:p>
          <w:p w14:paraId="5CD62FEB" w14:textId="77777777" w:rsidR="00C23F80" w:rsidRDefault="00000000">
            <w:pPr>
              <w:spacing w:before="20" w:after="20"/>
              <w:ind w:left="600" w:hanging="260"/>
              <w:rPr>
                <w:color w:val="333333"/>
              </w:rPr>
            </w:pPr>
            <w:r>
              <w:t>–</w:t>
            </w:r>
            <w:r>
              <w:rPr>
                <w:rFonts w:ascii="Times New Roman" w:eastAsia="Times New Roman" w:hAnsi="Times New Roman" w:cs="Times New Roman"/>
                <w:sz w:val="14"/>
                <w:szCs w:val="14"/>
              </w:rPr>
              <w:t xml:space="preserve">    </w:t>
            </w:r>
            <w:r>
              <w:rPr>
                <w:color w:val="333333"/>
              </w:rPr>
              <w:t>Manual sign-off required on every AI-flagged incident — no automated escalation.</w:t>
            </w:r>
          </w:p>
          <w:p w14:paraId="1FF93958" w14:textId="77777777" w:rsidR="00C23F80" w:rsidRDefault="00000000">
            <w:pPr>
              <w:spacing w:before="20" w:after="20"/>
              <w:ind w:left="600" w:hanging="260"/>
              <w:rPr>
                <w:color w:val="333333"/>
              </w:rPr>
            </w:pPr>
            <w:r>
              <w:t>–</w:t>
            </w:r>
            <w:r>
              <w:rPr>
                <w:rFonts w:ascii="Times New Roman" w:eastAsia="Times New Roman" w:hAnsi="Times New Roman" w:cs="Times New Roman"/>
                <w:sz w:val="14"/>
                <w:szCs w:val="14"/>
              </w:rPr>
              <w:t xml:space="preserve">    </w:t>
            </w:r>
            <w:r>
              <w:rPr>
                <w:color w:val="333333"/>
              </w:rPr>
              <w:t>Export templates match ISO 9001 field requirements so reports don't need reformatting.</w:t>
            </w:r>
          </w:p>
        </w:tc>
      </w:tr>
    </w:tbl>
    <w:p w14:paraId="6C087E70" w14:textId="77777777" w:rsidR="00C23F80" w:rsidRDefault="00C23F80">
      <w:pPr>
        <w:spacing w:before="240" w:after="240"/>
      </w:pPr>
    </w:p>
    <w:p w14:paraId="1CE779D6" w14:textId="77777777" w:rsidR="00C23F80" w:rsidRDefault="00000000">
      <w:pPr>
        <w:spacing w:before="240" w:after="240"/>
      </w:pPr>
      <w:r>
        <w:t>Solution Design Sketch</w:t>
      </w:r>
    </w:p>
    <w:p w14:paraId="5E710BE4" w14:textId="1202B5C6" w:rsidR="00C23F80" w:rsidRPr="004215DA" w:rsidRDefault="004215DA" w:rsidP="004215DA">
      <w:pPr>
        <w:spacing w:before="200" w:after="200"/>
        <w:rPr>
          <w:color w:val="1D1C1D"/>
        </w:rPr>
      </w:pPr>
      <w:r>
        <w:rPr>
          <w:noProof/>
        </w:rPr>
        <w:drawing>
          <wp:inline distT="0" distB="0" distL="0" distR="0" wp14:anchorId="37725FB4" wp14:editId="0D042368">
            <wp:extent cx="5943600" cy="2353945"/>
            <wp:effectExtent l="0" t="0" r="0" b="0"/>
            <wp:docPr id="1131100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100301" name="Picture 113110030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2353945"/>
                    </a:xfrm>
                    <a:prstGeom prst="rect">
                      <a:avLst/>
                    </a:prstGeom>
                  </pic:spPr>
                </pic:pic>
              </a:graphicData>
            </a:graphic>
          </wp:inline>
        </w:drawing>
      </w:r>
    </w:p>
    <w:sectPr w:rsidR="00C23F80" w:rsidRPr="004215DA">
      <w:pgSz w:w="12240" w:h="15840"/>
      <w:pgMar w:top="810" w:right="1440" w:bottom="63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5AB0B662-A3D7-BF45-B5C9-3B3711B56576}"/>
    <w:embedBold r:id="rId2" w:fontKey="{42070913-4F0A-DE4A-97C8-5254BC29596A}"/>
    <w:embedItalic r:id="rId3" w:fontKey="{40AFE5EA-CCEC-634A-91D5-38C1E2E75F0F}"/>
  </w:font>
  <w:font w:name="Times New Roman">
    <w:panose1 w:val="02020603050405020304"/>
    <w:charset w:val="00"/>
    <w:family w:val="roman"/>
    <w:pitch w:val="variable"/>
    <w:sig w:usb0="E0002EFF" w:usb1="C000785B" w:usb2="00000009" w:usb3="00000000" w:csb0="000001FF" w:csb1="00000000"/>
    <w:embedRegular r:id="rId4" w:fontKey="{1A0D63EA-8EE7-F046-AB37-15491B9C4718}"/>
  </w:font>
  <w:font w:name="Calibri">
    <w:panose1 w:val="020F0502020204030204"/>
    <w:charset w:val="00"/>
    <w:family w:val="swiss"/>
    <w:pitch w:val="variable"/>
    <w:sig w:usb0="E0002AFF" w:usb1="C000247B" w:usb2="00000009" w:usb3="00000000" w:csb0="000001FF" w:csb1="00000000"/>
    <w:embedRegular r:id="rId5" w:fontKey="{535E16FF-BC11-EB49-B884-47F5467AF2F6}"/>
  </w:font>
  <w:font w:name="Cambria">
    <w:panose1 w:val="02040503050406030204"/>
    <w:charset w:val="00"/>
    <w:family w:val="roman"/>
    <w:notTrueType/>
    <w:pitch w:val="variable"/>
    <w:sig w:usb0="E00002FF" w:usb1="400004FF" w:usb2="00000000" w:usb3="00000000" w:csb0="0000019F" w:csb1="00000000"/>
    <w:embedRegular r:id="rId6" w:fontKey="{CD048EB6-301D-3C4E-B8ED-DBEE9181DFD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06"/>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3F80"/>
    <w:rsid w:val="001567F6"/>
    <w:rsid w:val="004215DA"/>
    <w:rsid w:val="00C23F80"/>
    <w:rsid w:val="00C959E8"/>
    <w:rsid w:val="00F93598"/>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2E489"/>
  <w15:docId w15:val="{C599B398-55E0-844D-BD5F-4D4F4B050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451</Words>
  <Characters>2927</Characters>
  <Application>Microsoft Office Word</Application>
  <DocSecurity>0</DocSecurity>
  <Lines>59</Lines>
  <Paragraphs>32</Paragraphs>
  <ScaleCrop>false</ScaleCrop>
  <Company/>
  <LinksUpToDate>false</LinksUpToDate>
  <CharactersWithSpaces>3346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Markus von Aschoff</cp:lastModifiedBy>
  <cp:revision>5</cp:revision>
  <cp:lastPrinted>2026-06-01T13:34:00Z</cp:lastPrinted>
  <dcterms:created xsi:type="dcterms:W3CDTF">2026-06-01T13:34:00Z</dcterms:created>
  <dcterms:modified xsi:type="dcterms:W3CDTF">2026-06-01T13:49:00Z</dcterms:modified>
</cp:coreProperties>
</file>