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24818" w14:textId="7493230B" w:rsidR="00070F97" w:rsidRPr="00222259" w:rsidRDefault="00222259" w:rsidP="00222259">
      <w:p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222259">
        <w:rPr>
          <w:rFonts w:ascii="黑体" w:eastAsia="黑体" w:hAnsi="黑体"/>
          <w:b/>
          <w:bCs/>
          <w:sz w:val="30"/>
          <w:szCs w:val="30"/>
        </w:rPr>
        <w:t>碳化硅外延层厚度的红外干涉测量及多光束干涉影响分析</w:t>
      </w:r>
    </w:p>
    <w:p w14:paraId="0FD2BC61" w14:textId="2A45D652" w:rsidR="00222259" w:rsidRPr="00222259" w:rsidRDefault="00222259" w:rsidP="00222259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222259">
        <w:rPr>
          <w:rFonts w:ascii="黑体" w:eastAsia="黑体" w:hAnsi="黑体" w:hint="eastAsia"/>
          <w:b/>
          <w:bCs/>
          <w:sz w:val="30"/>
          <w:szCs w:val="30"/>
        </w:rPr>
        <w:t>问题</w:t>
      </w:r>
      <w:r w:rsidR="00BB69F7">
        <w:rPr>
          <w:rFonts w:ascii="黑体" w:eastAsia="黑体" w:hAnsi="黑体" w:hint="eastAsia"/>
          <w:b/>
          <w:bCs/>
          <w:sz w:val="30"/>
          <w:szCs w:val="30"/>
        </w:rPr>
        <w:t>重述</w:t>
      </w:r>
    </w:p>
    <w:p w14:paraId="074F7A95" w14:textId="6C066ABF" w:rsidR="00222259" w:rsidRPr="00DA6C58" w:rsidRDefault="00222259" w:rsidP="00222259">
      <w:pPr>
        <w:spacing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 w:hint="eastAsia"/>
          <w:b/>
          <w:bCs/>
          <w:sz w:val="24"/>
        </w:rPr>
        <w:t>1.1 问题背景</w:t>
      </w:r>
    </w:p>
    <w:p w14:paraId="22EA389B" w14:textId="5F21C128" w:rsidR="00222259" w:rsidRDefault="00222259" w:rsidP="00222259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222259">
        <w:rPr>
          <w:rFonts w:ascii="宋体" w:eastAsia="宋体" w:hAnsi="宋体"/>
          <w:sz w:val="21"/>
          <w:szCs w:val="21"/>
        </w:rPr>
        <w:t>碳化硅作为典型的第三代半导体材料，凭借宽禁带、高热导率、高击穿电场等突出综合性能，在功率电子、射频器件等领域得到广泛研究与工程应用。碳化硅外延层厚度是评价外延材料品质的核心指标，其数值精度会直接影响半导体器件的击穿电压、导通电阻等关键性能参数。因此，建立一套科学、精准且具备可靠性的碳化硅外延层厚度检测标准，对碳化硅器件工艺研发、质量管控具有十分重要的现实意义。</w:t>
      </w:r>
      <w:r w:rsidR="00DA6C58" w:rsidRPr="00DA6C58">
        <w:rPr>
          <w:rFonts w:ascii="宋体" w:eastAsia="宋体" w:hAnsi="宋体"/>
          <w:sz w:val="21"/>
          <w:szCs w:val="21"/>
        </w:rPr>
        <w:t>图1</w:t>
      </w:r>
      <w:r w:rsidR="00DA6C58">
        <w:rPr>
          <w:rFonts w:ascii="宋体" w:eastAsia="宋体" w:hAnsi="宋体" w:hint="eastAsia"/>
          <w:sz w:val="21"/>
          <w:szCs w:val="21"/>
        </w:rPr>
        <w:t>为</w:t>
      </w:r>
      <w:r w:rsidR="00DA6C58" w:rsidRPr="00DA6C58">
        <w:rPr>
          <w:rFonts w:ascii="宋体" w:eastAsia="宋体" w:hAnsi="宋体"/>
          <w:sz w:val="21"/>
          <w:szCs w:val="21"/>
        </w:rPr>
        <w:t>多尺寸</w:t>
      </w:r>
      <w:r w:rsidR="00DA6C58" w:rsidRPr="00DA6C58">
        <w:rPr>
          <w:rFonts w:ascii="Times New Roman" w:eastAsia="宋体" w:hAnsi="Times New Roman" w:cs="Times New Roman"/>
          <w:sz w:val="21"/>
          <w:szCs w:val="21"/>
        </w:rPr>
        <w:t>SiC</w:t>
      </w:r>
      <w:r w:rsidR="00DA6C58" w:rsidRPr="00DA6C58">
        <w:rPr>
          <w:rFonts w:ascii="宋体" w:eastAsia="宋体" w:hAnsi="宋体"/>
          <w:sz w:val="21"/>
          <w:szCs w:val="21"/>
        </w:rPr>
        <w:t>晶圆</w:t>
      </w:r>
      <w:r w:rsidR="00DA6C58">
        <w:rPr>
          <w:rFonts w:ascii="宋体" w:eastAsia="宋体" w:hAnsi="宋体" w:hint="eastAsia"/>
          <w:sz w:val="21"/>
          <w:szCs w:val="21"/>
        </w:rPr>
        <w:t>示意图。</w:t>
      </w:r>
    </w:p>
    <w:p w14:paraId="3A63B52A" w14:textId="1D9608CB" w:rsidR="00222259" w:rsidRDefault="00222259" w:rsidP="00532451">
      <w:pPr>
        <w:spacing w:beforeLines="50" w:before="156" w:afterLines="50" w:after="156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 w:rsidRPr="00222259">
        <w:rPr>
          <w:rFonts w:ascii="宋体" w:eastAsia="宋体" w:hAnsi="宋体"/>
          <w:noProof/>
          <w:sz w:val="21"/>
          <w:szCs w:val="21"/>
        </w:rPr>
        <w:drawing>
          <wp:inline distT="0" distB="0" distL="0" distR="0" wp14:anchorId="1FDC11B7" wp14:editId="1B667150">
            <wp:extent cx="2095500" cy="1745073"/>
            <wp:effectExtent l="0" t="0" r="0" b="7620"/>
            <wp:docPr id="197252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2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1608" cy="17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FF6C" w14:textId="1B954281" w:rsidR="00222259" w:rsidRDefault="00222259" w:rsidP="00532451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532451">
        <w:rPr>
          <w:rFonts w:ascii="宋体" w:eastAsia="宋体" w:hAnsi="宋体" w:hint="eastAsia"/>
          <w:sz w:val="18"/>
          <w:szCs w:val="18"/>
        </w:rPr>
        <w:t>图1  多尺寸</w:t>
      </w:r>
      <w:r w:rsidRPr="00532451">
        <w:rPr>
          <w:rFonts w:ascii="Times New Roman" w:eastAsia="宋体" w:hAnsi="Times New Roman" w:cs="Times New Roman"/>
          <w:sz w:val="18"/>
          <w:szCs w:val="18"/>
        </w:rPr>
        <w:t>SiC</w:t>
      </w:r>
      <w:r w:rsidRPr="00532451">
        <w:rPr>
          <w:rFonts w:ascii="宋体" w:eastAsia="宋体" w:hAnsi="宋体" w:hint="eastAsia"/>
          <w:sz w:val="18"/>
          <w:szCs w:val="18"/>
        </w:rPr>
        <w:t>晶圆</w:t>
      </w:r>
    </w:p>
    <w:p w14:paraId="0BD53B17" w14:textId="77777777" w:rsidR="00532451" w:rsidRDefault="00532451" w:rsidP="00532451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2451">
        <w:rPr>
          <w:rFonts w:ascii="宋体" w:eastAsia="宋体" w:hAnsi="宋体"/>
          <w:sz w:val="21"/>
          <w:szCs w:val="21"/>
        </w:rPr>
        <w:t>红外干涉法属于非破坏性检测手段，适用于外延层厚度测试。该方法的基本原理为：碳化硅外延层与衬底的载流子掺杂浓度存在差异，使得二者折射率不同；当红外光照射样品时，一部分光束由外延层上表面直接反射，另一部分光束穿透外延层后在衬底界面发生反射，两束反射光相互叠加形成干涉条纹，结合红外光谱波长、外延层折射率、光线入射角等参数，即可计算得到外延层厚度。</w:t>
      </w:r>
    </w:p>
    <w:p w14:paraId="3C7B5534" w14:textId="0A515A0E" w:rsidR="00532451" w:rsidRDefault="00532451" w:rsidP="00532451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2451">
        <w:rPr>
          <w:rFonts w:ascii="宋体" w:eastAsia="宋体" w:hAnsi="宋体"/>
          <w:sz w:val="21"/>
          <w:szCs w:val="21"/>
        </w:rPr>
        <w:t>本文针对红外干涉法测定碳化硅</w:t>
      </w:r>
      <w:r>
        <w:rPr>
          <w:rFonts w:ascii="宋体" w:eastAsia="宋体" w:hAnsi="宋体" w:hint="eastAsia"/>
          <w:sz w:val="21"/>
          <w:szCs w:val="21"/>
        </w:rPr>
        <w:t>以及硅单体</w:t>
      </w:r>
      <w:r w:rsidRPr="00532451">
        <w:rPr>
          <w:rFonts w:ascii="宋体" w:eastAsia="宋体" w:hAnsi="宋体"/>
          <w:sz w:val="21"/>
          <w:szCs w:val="21"/>
        </w:rPr>
        <w:t>外延层厚度这一情景，在</w:t>
      </w:r>
      <w:r>
        <w:rPr>
          <w:rFonts w:ascii="宋体" w:eastAsia="宋体" w:hAnsi="宋体" w:hint="eastAsia"/>
          <w:sz w:val="21"/>
          <w:szCs w:val="21"/>
        </w:rPr>
        <w:t>不同</w:t>
      </w:r>
      <w:r w:rsidRPr="00532451">
        <w:rPr>
          <w:rFonts w:ascii="宋体" w:eastAsia="宋体" w:hAnsi="宋体"/>
          <w:sz w:val="21"/>
          <w:szCs w:val="21"/>
        </w:rPr>
        <w:t>反射率光谱、入射角以及外延层–衬底双界面干涉机制已经给定的条件下，综合考虑透明波段选取、多光束物理模型、折射率随波长与载流子浓度的色散，以及对不同角度测量结果的一致性约束，建立可解释的测厚与诊断流程，以得到可靠的外延层厚度估计，并正确判定是否需要进行多光束修正。</w:t>
      </w:r>
    </w:p>
    <w:p w14:paraId="56B3644C" w14:textId="73BC10CB" w:rsidR="00532451" w:rsidRDefault="00532451" w:rsidP="00532451">
      <w:pPr>
        <w:spacing w:after="0"/>
        <w:rPr>
          <w:rFonts w:ascii="宋体" w:eastAsia="宋体" w:hAnsi="宋体" w:hint="eastAsia"/>
          <w:sz w:val="21"/>
          <w:szCs w:val="21"/>
        </w:rPr>
      </w:pPr>
    </w:p>
    <w:p w14:paraId="268C7B7B" w14:textId="79A9944F" w:rsidR="00532451" w:rsidRPr="00DA6C58" w:rsidRDefault="00532451" w:rsidP="00532451">
      <w:pPr>
        <w:spacing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/>
          <w:b/>
          <w:bCs/>
          <w:sz w:val="24"/>
        </w:rPr>
        <w:t>1.</w:t>
      </w:r>
      <w:r w:rsidRPr="00DA6C58">
        <w:rPr>
          <w:rFonts w:ascii="黑体" w:eastAsia="黑体" w:hAnsi="黑体" w:hint="eastAsia"/>
          <w:b/>
          <w:bCs/>
          <w:sz w:val="24"/>
        </w:rPr>
        <w:t>2</w:t>
      </w:r>
      <w:r w:rsidRPr="00DA6C58">
        <w:rPr>
          <w:rFonts w:ascii="黑体" w:eastAsia="黑体" w:hAnsi="黑体"/>
          <w:b/>
          <w:bCs/>
          <w:sz w:val="24"/>
        </w:rPr>
        <w:t xml:space="preserve"> 问题</w:t>
      </w:r>
      <w:r w:rsidRPr="00DA6C58">
        <w:rPr>
          <w:rFonts w:ascii="黑体" w:eastAsia="黑体" w:hAnsi="黑体" w:hint="eastAsia"/>
          <w:b/>
          <w:bCs/>
          <w:sz w:val="24"/>
        </w:rPr>
        <w:t>提出</w:t>
      </w:r>
    </w:p>
    <w:p w14:paraId="69F05A6F" w14:textId="77777777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sz w:val="21"/>
          <w:szCs w:val="21"/>
        </w:rPr>
        <w:t>外延层厚度直接影响功率器件性能，是工艺控制的关键指标。红外光在空气–外延层与外延层–衬底两界面反射后发生干涉，反射率随波数出现条纹；在适当简化下，条纹周期与膜厚有明确关系，因而红外干涉法具有非接触、无损的优点。但实际光谱中，强吸收带与过渡区常使常数折射率假设失效，噪声与基线会影响极值识别，多次反射还可能使条纹偏离简单余弦。波段或模型选择不当，将引入系统偏差。据此，本文分三个层次展开。</w:t>
      </w:r>
    </w:p>
    <w:p w14:paraId="44CA48D6" w14:textId="24F12A6A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问题一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 xml:space="preserve">要求在双光束假设下建立斜入射薄膜干涉厚度模型：由 </w:t>
      </w:r>
      <w:r w:rsidRPr="00533EE7">
        <w:rPr>
          <w:rFonts w:ascii="Times New Roman" w:eastAsia="宋体" w:hAnsi="Times New Roman" w:cs="Times New Roman"/>
          <w:sz w:val="21"/>
          <w:szCs w:val="21"/>
        </w:rPr>
        <w:t xml:space="preserve">Snell </w:t>
      </w:r>
      <w:r w:rsidRPr="00533EE7">
        <w:rPr>
          <w:rFonts w:ascii="宋体" w:eastAsia="宋体" w:hAnsi="宋体"/>
          <w:sz w:val="21"/>
          <w:szCs w:val="21"/>
        </w:rPr>
        <w:t>定律确定膜内</w:t>
      </w:r>
      <w:r w:rsidRPr="00533EE7">
        <w:rPr>
          <w:rFonts w:ascii="宋体" w:eastAsia="宋体" w:hAnsi="宋体"/>
          <w:sz w:val="21"/>
          <w:szCs w:val="21"/>
        </w:rPr>
        <w:lastRenderedPageBreak/>
        <w:t>折射角，写出往返光程差与相位差，得到常折射率下厚度与相邻同类极值波数间隔的解析关系，为后续反演提供依据。</w:t>
      </w:r>
    </w:p>
    <w:p w14:paraId="1F5924E4" w14:textId="6C801EE4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问题二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>要求利用附件一、二的碳化硅光谱，确定同一块晶圆的外延层厚度。两份数据分别对应十度与十五度入射角，需兼顾透明波段选取与条纹去噪，并以同一物理厚度检验双角度一致性，同时评价结果可靠性。</w:t>
      </w:r>
    </w:p>
    <w:p w14:paraId="39E90EED" w14:textId="52F4DDE7" w:rsidR="00533EE7" w:rsidRPr="00533EE7" w:rsidRDefault="00533EE7" w:rsidP="00533EE7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533EE7">
        <w:rPr>
          <w:rFonts w:ascii="宋体" w:eastAsia="宋体" w:hAnsi="宋体"/>
          <w:b/>
          <w:bCs/>
          <w:sz w:val="21"/>
          <w:szCs w:val="21"/>
        </w:rPr>
        <w:t>问题三</w:t>
      </w:r>
      <w:r>
        <w:rPr>
          <w:rFonts w:ascii="宋体" w:eastAsia="宋体" w:hAnsi="宋体" w:hint="eastAsia"/>
          <w:sz w:val="21"/>
          <w:szCs w:val="21"/>
        </w:rPr>
        <w:t>：</w:t>
      </w:r>
      <w:r w:rsidRPr="00533EE7">
        <w:rPr>
          <w:rFonts w:ascii="宋体" w:eastAsia="宋体" w:hAnsi="宋体"/>
          <w:sz w:val="21"/>
          <w:szCs w:val="21"/>
        </w:rPr>
        <w:t>进一步讨论多光束干涉：先明确其可观测条件，再判断附件三、四硅片光谱是否存在显著多光束特征并建模测厚；同时检验附件一、二的碳化硅结果是否需要多光束修正，避免仅凭残差下降而误判。</w:t>
      </w:r>
    </w:p>
    <w:p w14:paraId="1AB297C0" w14:textId="50745CEB" w:rsidR="00DA6C58" w:rsidRDefault="00BF536A" w:rsidP="00DA6C58">
      <w:pPr>
        <w:spacing w:after="0"/>
        <w:ind w:firstLine="420"/>
        <w:jc w:val="center"/>
        <w:rPr>
          <w:rFonts w:ascii="宋体" w:eastAsia="宋体" w:hAnsi="宋体" w:hint="eastAsia"/>
          <w:sz w:val="21"/>
          <w:szCs w:val="21"/>
        </w:rPr>
      </w:pPr>
      <w:r>
        <w:rPr>
          <w:noProof/>
        </w:rPr>
        <w:drawing>
          <wp:inline distT="0" distB="0" distL="0" distR="0" wp14:anchorId="2B1442CF" wp14:editId="149F95E2">
            <wp:extent cx="4533900" cy="1909959"/>
            <wp:effectExtent l="0" t="0" r="0" b="0"/>
            <wp:docPr id="1852642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42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4420" cy="192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F801" w14:textId="4CA945ED" w:rsidR="00BB69F7" w:rsidRDefault="00BF536A" w:rsidP="00BB69F7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532451">
        <w:rPr>
          <w:rFonts w:ascii="宋体" w:eastAsia="宋体" w:hAnsi="宋体" w:hint="eastAsia"/>
          <w:sz w:val="18"/>
          <w:szCs w:val="18"/>
        </w:rPr>
        <w:t>图</w:t>
      </w:r>
      <w:r w:rsidR="00BB69F7">
        <w:rPr>
          <w:rFonts w:ascii="宋体" w:eastAsia="宋体" w:hAnsi="宋体" w:hint="eastAsia"/>
          <w:sz w:val="18"/>
          <w:szCs w:val="18"/>
        </w:rPr>
        <w:t>2</w:t>
      </w:r>
      <w:r w:rsidRPr="00532451">
        <w:rPr>
          <w:rFonts w:ascii="宋体" w:eastAsia="宋体" w:hAnsi="宋体" w:hint="eastAsia"/>
          <w:sz w:val="18"/>
          <w:szCs w:val="18"/>
        </w:rPr>
        <w:t xml:space="preserve">  </w:t>
      </w:r>
      <w:r>
        <w:rPr>
          <w:rFonts w:ascii="宋体" w:eastAsia="宋体" w:hAnsi="宋体" w:hint="eastAsia"/>
          <w:sz w:val="18"/>
          <w:szCs w:val="18"/>
        </w:rPr>
        <w:t>问题关系图</w:t>
      </w:r>
    </w:p>
    <w:p w14:paraId="54877BBB" w14:textId="77777777" w:rsidR="00DA6C58" w:rsidRPr="00BB69F7" w:rsidRDefault="00DA6C58" w:rsidP="00BB69F7">
      <w:pPr>
        <w:spacing w:afterLines="50" w:after="156"/>
        <w:ind w:firstLine="420"/>
        <w:jc w:val="center"/>
        <w:rPr>
          <w:rFonts w:ascii="宋体" w:eastAsia="宋体" w:hAnsi="宋体" w:hint="eastAsia"/>
          <w:sz w:val="18"/>
          <w:szCs w:val="18"/>
        </w:rPr>
      </w:pPr>
    </w:p>
    <w:p w14:paraId="19CA3AEC" w14:textId="77777777" w:rsidR="00BB69F7" w:rsidRDefault="00BB69F7" w:rsidP="00BB69F7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222259">
        <w:rPr>
          <w:rFonts w:ascii="黑体" w:eastAsia="黑体" w:hAnsi="黑体" w:hint="eastAsia"/>
          <w:b/>
          <w:bCs/>
          <w:sz w:val="30"/>
          <w:szCs w:val="30"/>
        </w:rPr>
        <w:t>问题分析</w:t>
      </w:r>
    </w:p>
    <w:p w14:paraId="25F373EE" w14:textId="125EE345" w:rsidR="00DA6C58" w:rsidRPr="00DA6C58" w:rsidRDefault="00DA6C58" w:rsidP="00DA6C58">
      <w:pPr>
        <w:spacing w:beforeLines="50" w:before="156"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 w:hint="eastAsia"/>
          <w:b/>
          <w:bCs/>
          <w:sz w:val="24"/>
        </w:rPr>
        <w:t>2.2问题一分析</w:t>
      </w:r>
    </w:p>
    <w:p w14:paraId="70C41B9C" w14:textId="77777777" w:rsidR="00DA6C58" w:rsidRPr="00DA6C58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一的关键是把斜入射几何正确写入相位差，得到可供后续反演直接使用的解析关系。由折射定律确定膜内折射角后，写出一次往返光程差与相位差；相邻同类极值对应相位改变一个完整周期，从而得到厚度与波数间隔的对应关系。该关系在入射角趋于零时应退化为常见的正入射公式，可作为推导正确性的退化检验。问题一不直接给出数值厚度，而是为问题二、三提供统一的理论锚点。</w:t>
      </w:r>
    </w:p>
    <w:p w14:paraId="561F489D" w14:textId="49F85063" w:rsidR="00DA6C58" w:rsidRPr="00DA6C58" w:rsidRDefault="00DA6C58" w:rsidP="00DA6C58">
      <w:pPr>
        <w:spacing w:beforeLines="50" w:before="156"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/>
          <w:b/>
          <w:bCs/>
          <w:sz w:val="24"/>
        </w:rPr>
        <w:t>2.</w:t>
      </w:r>
      <w:r w:rsidRPr="00DA6C58">
        <w:rPr>
          <w:rFonts w:ascii="黑体" w:eastAsia="黑体" w:hAnsi="黑体" w:hint="eastAsia"/>
          <w:b/>
          <w:bCs/>
          <w:sz w:val="24"/>
        </w:rPr>
        <w:t>2</w:t>
      </w:r>
      <w:r w:rsidRPr="00DA6C58">
        <w:rPr>
          <w:rFonts w:ascii="黑体" w:eastAsia="黑体" w:hAnsi="黑体"/>
          <w:b/>
          <w:bCs/>
          <w:sz w:val="24"/>
        </w:rPr>
        <w:t>问题</w:t>
      </w:r>
      <w:r>
        <w:rPr>
          <w:rFonts w:ascii="黑体" w:eastAsia="黑体" w:hAnsi="黑体" w:hint="eastAsia"/>
          <w:b/>
          <w:bCs/>
          <w:sz w:val="24"/>
        </w:rPr>
        <w:t>二</w:t>
      </w:r>
      <w:r w:rsidRPr="00DA6C58">
        <w:rPr>
          <w:rFonts w:ascii="黑体" w:eastAsia="黑体" w:hAnsi="黑体"/>
          <w:b/>
          <w:bCs/>
          <w:sz w:val="24"/>
        </w:rPr>
        <w:t>分析</w:t>
      </w:r>
    </w:p>
    <w:p w14:paraId="508E2429" w14:textId="77777777" w:rsidR="00DA6C58" w:rsidRPr="00DA6C58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二在问题一结论基础上，利用附件一、二确定同一块碳化硅晶圆的外延层厚度并评价可靠性。难点在于全谱并非处处满足常折射率透明假设：强吸收带与过渡区会扭曲条纹，使频域估计与极值估计结果分裂。因此先对多个候选透明窗评分，再在选定窗内做双尺度去基线，以频域变换粗估厚度、以峰谷稳健回归为主估计，并结合有界精修与重抽样给出区间。最后以同一物理厚度约束检验十度与十五度结果的一致性，完成双角度融合。</w:t>
      </w:r>
    </w:p>
    <w:p w14:paraId="780E228A" w14:textId="4315BEAE" w:rsidR="00DA6C58" w:rsidRPr="00DA6C58" w:rsidRDefault="00DA6C58" w:rsidP="00DA6C58">
      <w:pPr>
        <w:spacing w:beforeLines="50" w:before="156" w:after="0"/>
        <w:rPr>
          <w:rFonts w:ascii="黑体" w:eastAsia="黑体" w:hAnsi="黑体" w:hint="eastAsia"/>
          <w:b/>
          <w:bCs/>
          <w:sz w:val="24"/>
        </w:rPr>
      </w:pPr>
      <w:r w:rsidRPr="00DA6C58">
        <w:rPr>
          <w:rFonts w:ascii="黑体" w:eastAsia="黑体" w:hAnsi="黑体"/>
          <w:b/>
          <w:bCs/>
          <w:sz w:val="24"/>
        </w:rPr>
        <w:t>2.</w:t>
      </w:r>
      <w:r w:rsidRPr="00DA6C58">
        <w:rPr>
          <w:rFonts w:ascii="黑体" w:eastAsia="黑体" w:hAnsi="黑体" w:hint="eastAsia"/>
          <w:b/>
          <w:bCs/>
          <w:sz w:val="24"/>
        </w:rPr>
        <w:t>2</w:t>
      </w:r>
      <w:r w:rsidRPr="00DA6C58">
        <w:rPr>
          <w:rFonts w:ascii="黑体" w:eastAsia="黑体" w:hAnsi="黑体"/>
          <w:b/>
          <w:bCs/>
          <w:sz w:val="24"/>
        </w:rPr>
        <w:t>问题</w:t>
      </w:r>
      <w:r>
        <w:rPr>
          <w:rFonts w:ascii="黑体" w:eastAsia="黑体" w:hAnsi="黑体" w:hint="eastAsia"/>
          <w:b/>
          <w:bCs/>
          <w:sz w:val="24"/>
        </w:rPr>
        <w:t>三</w:t>
      </w:r>
      <w:r w:rsidRPr="00DA6C58">
        <w:rPr>
          <w:rFonts w:ascii="黑体" w:eastAsia="黑体" w:hAnsi="黑体"/>
          <w:b/>
          <w:bCs/>
          <w:sz w:val="24"/>
        </w:rPr>
        <w:t>分析</w:t>
      </w:r>
    </w:p>
    <w:p w14:paraId="75FD8452" w14:textId="51500CAE" w:rsidR="00BB69F7" w:rsidRDefault="00DA6C58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  <w:r w:rsidRPr="00DA6C58">
        <w:rPr>
          <w:rFonts w:ascii="宋体" w:eastAsia="宋体" w:hAnsi="宋体" w:hint="eastAsia"/>
          <w:sz w:val="21"/>
          <w:szCs w:val="21"/>
        </w:rPr>
        <w:t>问题三在问题二所用透明窗与预处理基础上，讨论是否需要从双光束升级到多光束。难点不在于能否把残差拟合得更小，而在于多光束是否真正可观测。为此先给出多光束可观测的必要条件，再建立多次反射干涉模型，并用谐波比、有效反射率、信息准则与误差</w:t>
      </w:r>
      <w:r w:rsidRPr="00DA6C58">
        <w:rPr>
          <w:rFonts w:ascii="宋体" w:eastAsia="宋体" w:hAnsi="宋体" w:hint="eastAsia"/>
          <w:sz w:val="21"/>
          <w:szCs w:val="21"/>
        </w:rPr>
        <w:lastRenderedPageBreak/>
        <w:t>改善等指标联合诊断。对附件三、四的硅片，若诊断为多光束显著则采用多光束模型测厚；对附件一、二的碳化硅，若证据不足则不作多光束修正，保留问题二结论。三问层层递进：问题一给公式，问题二完成碳化硅主反演，问题三作模型分叉判定。</w:t>
      </w:r>
    </w:p>
    <w:p w14:paraId="77BC16E6" w14:textId="77777777" w:rsidR="00141B60" w:rsidRDefault="00141B60" w:rsidP="00DA6C58">
      <w:pPr>
        <w:spacing w:after="0"/>
        <w:ind w:firstLine="420"/>
        <w:rPr>
          <w:rFonts w:ascii="宋体" w:eastAsia="宋体" w:hAnsi="宋体" w:hint="eastAsia"/>
          <w:sz w:val="21"/>
          <w:szCs w:val="21"/>
        </w:rPr>
      </w:pPr>
    </w:p>
    <w:p w14:paraId="4A062901" w14:textId="0C03ABCE" w:rsidR="00141B60" w:rsidRPr="00141B60" w:rsidRDefault="00141B60" w:rsidP="00141B60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符号说明</w:t>
      </w:r>
    </w:p>
    <w:p w14:paraId="73544596" w14:textId="26A71E35" w:rsidR="00141B60" w:rsidRPr="00141B60" w:rsidRDefault="00141B60" w:rsidP="00141B60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问题一</w:t>
      </w:r>
    </w:p>
    <w:p w14:paraId="7C7A4C26" w14:textId="04386C05" w:rsidR="000A0B1E" w:rsidRPr="000A0B1E" w:rsidRDefault="000A0B1E" w:rsidP="000A0B1E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1数据预处理</w:t>
      </w:r>
    </w:p>
    <w:p w14:paraId="529137AC" w14:textId="2CF32F2C" w:rsidR="000A0B1E" w:rsidRPr="000A0B1E" w:rsidRDefault="000A0B1E" w:rsidP="000A0B1E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4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2</w:t>
      </w:r>
      <w:r w:rsidRPr="000A0B1E">
        <w:rPr>
          <w:rFonts w:ascii="黑体" w:eastAsia="黑体" w:hAnsi="黑体"/>
          <w:b/>
          <w:bCs/>
          <w:sz w:val="24"/>
        </w:rPr>
        <w:t>模型建立</w:t>
      </w:r>
    </w:p>
    <w:p w14:paraId="2BC38679" w14:textId="66086A4C" w:rsidR="000A0B1E" w:rsidRPr="005F24E9" w:rsidRDefault="005F24E9" w:rsidP="005F24E9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 w:rsidRPr="005F24E9">
        <w:rPr>
          <w:rFonts w:ascii="黑体" w:eastAsia="黑体" w:hAnsi="黑体" w:hint="eastAsia"/>
          <w:b/>
          <w:bCs/>
          <w:sz w:val="24"/>
        </w:rPr>
        <w:t>4,3 模型求解</w:t>
      </w:r>
    </w:p>
    <w:p w14:paraId="75E88429" w14:textId="33DC2BD6" w:rsidR="005F24E9" w:rsidRPr="005F24E9" w:rsidRDefault="005F24E9" w:rsidP="005F24E9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 w:rsidRPr="005F24E9">
        <w:rPr>
          <w:rFonts w:ascii="黑体" w:eastAsia="黑体" w:hAnsi="黑体" w:hint="eastAsia"/>
          <w:b/>
          <w:bCs/>
          <w:sz w:val="24"/>
        </w:rPr>
        <w:t>4.4 结果分析</w:t>
      </w:r>
    </w:p>
    <w:p w14:paraId="7D666E22" w14:textId="63CD851E" w:rsidR="005F24E9" w:rsidRDefault="005F24E9" w:rsidP="005F24E9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 w:rsidRPr="005F24E9">
        <w:rPr>
          <w:rFonts w:ascii="黑体" w:eastAsia="黑体" w:hAnsi="黑体" w:hint="eastAsia"/>
          <w:b/>
          <w:bCs/>
          <w:sz w:val="24"/>
        </w:rPr>
        <w:t>4.5 总结</w:t>
      </w:r>
    </w:p>
    <w:p w14:paraId="2A6E9D03" w14:textId="2E870CD6" w:rsidR="00215B30" w:rsidRPr="00141B60" w:rsidRDefault="00215B30" w:rsidP="00215B30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问题二</w:t>
      </w:r>
    </w:p>
    <w:p w14:paraId="0402D62F" w14:textId="125ADE2A" w:rsidR="00215B30" w:rsidRPr="000A0B1E" w:rsidRDefault="00215B30" w:rsidP="00215B30">
      <w:pPr>
        <w:spacing w:beforeLines="50" w:before="156" w:afterLines="50" w:after="156"/>
        <w:rPr>
          <w:rFonts w:ascii="宋体" w:eastAsia="宋体" w:hAnsi="宋体" w:hint="eastAsia"/>
          <w:sz w:val="21"/>
          <w:szCs w:val="21"/>
        </w:rPr>
      </w:pPr>
      <w:r>
        <w:rPr>
          <w:rFonts w:ascii="黑体" w:eastAsia="黑体" w:hAnsi="黑体" w:hint="eastAsia"/>
          <w:b/>
          <w:bCs/>
          <w:sz w:val="24"/>
        </w:rPr>
        <w:t>5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1数据预处理</w:t>
      </w:r>
    </w:p>
    <w:p w14:paraId="457838E4" w14:textId="1801BA07" w:rsidR="00215B30" w:rsidRPr="000A0B1E" w:rsidRDefault="00215B30" w:rsidP="00215B30">
      <w:pPr>
        <w:spacing w:beforeLines="50" w:before="156" w:afterLines="50" w:after="156"/>
        <w:rPr>
          <w:rFonts w:ascii="Times New Roman" w:eastAsia="宋体" w:hAnsi="Times New Roman" w:cs="Times New Roman"/>
          <w:kern w:val="0"/>
          <w:sz w:val="24"/>
          <w:szCs w:val="22"/>
          <w14:ligatures w14:val="none"/>
        </w:rPr>
      </w:pPr>
      <w:r>
        <w:rPr>
          <w:rFonts w:ascii="黑体" w:eastAsia="黑体" w:hAnsi="黑体" w:hint="eastAsia"/>
          <w:b/>
          <w:bCs/>
          <w:sz w:val="24"/>
        </w:rPr>
        <w:t>5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2</w:t>
      </w:r>
      <w:r w:rsidRPr="000A0B1E">
        <w:rPr>
          <w:rFonts w:ascii="黑体" w:eastAsia="黑体" w:hAnsi="黑体"/>
          <w:b/>
          <w:bCs/>
          <w:sz w:val="24"/>
        </w:rPr>
        <w:t>模型建立</w:t>
      </w:r>
    </w:p>
    <w:p w14:paraId="302B4CA2" w14:textId="503F4AA8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5.</w:t>
      </w:r>
      <w:r w:rsidRPr="005F24E9">
        <w:rPr>
          <w:rFonts w:ascii="黑体" w:eastAsia="黑体" w:hAnsi="黑体" w:hint="eastAsia"/>
          <w:b/>
          <w:bCs/>
          <w:sz w:val="24"/>
        </w:rPr>
        <w:t>3 模型求解</w:t>
      </w:r>
    </w:p>
    <w:p w14:paraId="0827B979" w14:textId="6F4975A4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5</w:t>
      </w:r>
      <w:r w:rsidRPr="005F24E9">
        <w:rPr>
          <w:rFonts w:ascii="黑体" w:eastAsia="黑体" w:hAnsi="黑体" w:hint="eastAsia"/>
          <w:b/>
          <w:bCs/>
          <w:sz w:val="24"/>
        </w:rPr>
        <w:t>.4 结果分析</w:t>
      </w:r>
    </w:p>
    <w:p w14:paraId="77030988" w14:textId="6EA91CC1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5</w:t>
      </w:r>
      <w:r w:rsidRPr="005F24E9">
        <w:rPr>
          <w:rFonts w:ascii="黑体" w:eastAsia="黑体" w:hAnsi="黑体" w:hint="eastAsia"/>
          <w:b/>
          <w:bCs/>
          <w:sz w:val="24"/>
        </w:rPr>
        <w:t>.5 总结</w:t>
      </w:r>
    </w:p>
    <w:p w14:paraId="4A91978C" w14:textId="390DF3E5" w:rsidR="00215B30" w:rsidRPr="00141B60" w:rsidRDefault="00215B30" w:rsidP="00215B30">
      <w:pPr>
        <w:pStyle w:val="a9"/>
        <w:numPr>
          <w:ilvl w:val="0"/>
          <w:numId w:val="1"/>
        </w:numPr>
        <w:spacing w:after="0"/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t>问题三</w:t>
      </w:r>
    </w:p>
    <w:p w14:paraId="4E6FBA7D" w14:textId="3D6E3FE6" w:rsidR="00215B30" w:rsidRPr="000A0B1E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6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1数据预处理</w:t>
      </w:r>
    </w:p>
    <w:p w14:paraId="5CD8FE9C" w14:textId="227057D9" w:rsidR="00215B30" w:rsidRPr="000A0B1E" w:rsidRDefault="00215B30" w:rsidP="00215B30">
      <w:pPr>
        <w:spacing w:beforeLines="50" w:before="156" w:afterLines="50" w:after="156"/>
        <w:rPr>
          <w:rFonts w:ascii="Times New Roman" w:eastAsia="宋体" w:hAnsi="Times New Roman" w:cs="Times New Roman"/>
          <w:kern w:val="0"/>
          <w:sz w:val="24"/>
          <w:szCs w:val="22"/>
          <w14:ligatures w14:val="none"/>
        </w:rPr>
      </w:pPr>
      <w:r>
        <w:rPr>
          <w:rFonts w:ascii="黑体" w:eastAsia="黑体" w:hAnsi="黑体" w:hint="eastAsia"/>
          <w:b/>
          <w:bCs/>
          <w:sz w:val="24"/>
        </w:rPr>
        <w:t>6</w:t>
      </w:r>
      <w:r w:rsidRPr="000A0B1E">
        <w:rPr>
          <w:rFonts w:ascii="黑体" w:eastAsia="黑体" w:hAnsi="黑体"/>
          <w:b/>
          <w:bCs/>
          <w:sz w:val="24"/>
        </w:rPr>
        <w:t>.</w:t>
      </w:r>
      <w:r>
        <w:rPr>
          <w:rFonts w:ascii="黑体" w:eastAsia="黑体" w:hAnsi="黑体" w:hint="eastAsia"/>
          <w:b/>
          <w:bCs/>
          <w:sz w:val="24"/>
        </w:rPr>
        <w:t>2</w:t>
      </w:r>
      <w:r w:rsidRPr="000A0B1E">
        <w:rPr>
          <w:rFonts w:ascii="黑体" w:eastAsia="黑体" w:hAnsi="黑体"/>
          <w:b/>
          <w:bCs/>
          <w:sz w:val="24"/>
        </w:rPr>
        <w:t>模型建立</w:t>
      </w:r>
    </w:p>
    <w:p w14:paraId="0BAC99FD" w14:textId="2F23AE23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6.</w:t>
      </w:r>
      <w:r w:rsidRPr="005F24E9">
        <w:rPr>
          <w:rFonts w:ascii="黑体" w:eastAsia="黑体" w:hAnsi="黑体" w:hint="eastAsia"/>
          <w:b/>
          <w:bCs/>
          <w:sz w:val="24"/>
        </w:rPr>
        <w:t>3 模型求解</w:t>
      </w:r>
    </w:p>
    <w:p w14:paraId="779C474A" w14:textId="49321820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6</w:t>
      </w:r>
      <w:r w:rsidRPr="005F24E9">
        <w:rPr>
          <w:rFonts w:ascii="黑体" w:eastAsia="黑体" w:hAnsi="黑体" w:hint="eastAsia"/>
          <w:b/>
          <w:bCs/>
          <w:sz w:val="24"/>
        </w:rPr>
        <w:t>.4 结果分析</w:t>
      </w:r>
    </w:p>
    <w:p w14:paraId="4167CD8E" w14:textId="6AB0B44C" w:rsidR="00215B30" w:rsidRPr="005F24E9" w:rsidRDefault="00215B30" w:rsidP="00215B30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  <w:r>
        <w:rPr>
          <w:rFonts w:ascii="黑体" w:eastAsia="黑体" w:hAnsi="黑体" w:hint="eastAsia"/>
          <w:b/>
          <w:bCs/>
          <w:sz w:val="24"/>
        </w:rPr>
        <w:t>6</w:t>
      </w:r>
      <w:r w:rsidRPr="005F24E9">
        <w:rPr>
          <w:rFonts w:ascii="黑体" w:eastAsia="黑体" w:hAnsi="黑体" w:hint="eastAsia"/>
          <w:b/>
          <w:bCs/>
          <w:sz w:val="24"/>
        </w:rPr>
        <w:t>.5 总结</w:t>
      </w:r>
    </w:p>
    <w:p w14:paraId="18BD1F83" w14:textId="77777777" w:rsidR="00215B30" w:rsidRPr="005F24E9" w:rsidRDefault="00215B30" w:rsidP="005F24E9">
      <w:pPr>
        <w:spacing w:beforeLines="50" w:before="156" w:afterLines="50" w:after="156"/>
        <w:rPr>
          <w:rFonts w:ascii="黑体" w:eastAsia="黑体" w:hAnsi="黑体" w:hint="eastAsia"/>
          <w:b/>
          <w:bCs/>
          <w:sz w:val="24"/>
        </w:rPr>
      </w:pPr>
    </w:p>
    <w:sectPr w:rsidR="00215B30" w:rsidRPr="005F2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074B3"/>
    <w:multiLevelType w:val="hybridMultilevel"/>
    <w:tmpl w:val="79067724"/>
    <w:lvl w:ilvl="0" w:tplc="E6443E9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BE2F14"/>
    <w:multiLevelType w:val="multilevel"/>
    <w:tmpl w:val="83EA39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" w15:restartNumberingAfterBreak="0">
    <w:nsid w:val="47711025"/>
    <w:multiLevelType w:val="hybridMultilevel"/>
    <w:tmpl w:val="7906772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51873693">
    <w:abstractNumId w:val="0"/>
  </w:num>
  <w:num w:numId="2" w16cid:durableId="699937687">
    <w:abstractNumId w:val="1"/>
  </w:num>
  <w:num w:numId="3" w16cid:durableId="517423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60"/>
    <w:rsid w:val="00070F97"/>
    <w:rsid w:val="000A0B1E"/>
    <w:rsid w:val="00141B60"/>
    <w:rsid w:val="00215B30"/>
    <w:rsid w:val="00222259"/>
    <w:rsid w:val="00532451"/>
    <w:rsid w:val="00533EE7"/>
    <w:rsid w:val="005F24E9"/>
    <w:rsid w:val="00621945"/>
    <w:rsid w:val="00625CD3"/>
    <w:rsid w:val="007D7B3E"/>
    <w:rsid w:val="007F4CBC"/>
    <w:rsid w:val="008850D2"/>
    <w:rsid w:val="00886F57"/>
    <w:rsid w:val="00BB69F7"/>
    <w:rsid w:val="00BF536A"/>
    <w:rsid w:val="00D60269"/>
    <w:rsid w:val="00DA6C58"/>
    <w:rsid w:val="00DF210C"/>
    <w:rsid w:val="00E07596"/>
    <w:rsid w:val="00E33B60"/>
    <w:rsid w:val="00E9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91B079"/>
  <w15:chartTrackingRefBased/>
  <w15:docId w15:val="{39868E08-6C8A-4BFD-A703-5D5E19AC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B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33B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3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3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3B6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3B6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3B6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3B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3B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3B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33B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33B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33B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33B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33B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33B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33B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33B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33B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33B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33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3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33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33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33B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33B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33B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33B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33B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33B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909</Words>
  <Characters>947</Characters>
  <Application>Microsoft Office Word</Application>
  <DocSecurity>0</DocSecurity>
  <Lines>41</Lines>
  <Paragraphs>38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zhu</dc:creator>
  <cp:keywords/>
  <dc:description/>
  <cp:lastModifiedBy>e11532</cp:lastModifiedBy>
  <cp:revision>4</cp:revision>
  <dcterms:created xsi:type="dcterms:W3CDTF">2026-08-27T13:32:00Z</dcterms:created>
  <dcterms:modified xsi:type="dcterms:W3CDTF">2026-08-27T13:43:00Z</dcterms:modified>
</cp:coreProperties>
</file>