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6545" w14:textId="77777777" w:rsidR="0021742E" w:rsidRPr="006300D5" w:rsidRDefault="00000000" w:rsidP="006300D5">
      <w:pPr>
        <w:pStyle w:val="Heading1"/>
        <w:spacing w:before="0" w:line="240" w:lineRule="auto"/>
        <w:rPr>
          <w:rFonts w:ascii="Arial" w:hAnsi="Arial" w:cs="Arial"/>
          <w:color w:val="000000" w:themeColor="text1"/>
          <w:sz w:val="24"/>
          <w:szCs w:val="24"/>
        </w:rPr>
      </w:pPr>
      <w:r w:rsidRPr="006300D5">
        <w:rPr>
          <w:rFonts w:ascii="Arial" w:hAnsi="Arial" w:cs="Arial"/>
          <w:color w:val="000000" w:themeColor="text1"/>
          <w:sz w:val="24"/>
          <w:szCs w:val="24"/>
        </w:rPr>
        <w:t>Brownian Clustering Simulation – Methods</w:t>
      </w:r>
    </w:p>
    <w:p w14:paraId="6C16F7B5" w14:textId="77777777" w:rsidR="0021742E" w:rsidRPr="006300D5" w:rsidRDefault="00000000" w:rsidP="006300D5">
      <w:pPr>
        <w:pStyle w:val="Heading2"/>
        <w:spacing w:before="0" w:line="240" w:lineRule="auto"/>
        <w:rPr>
          <w:rFonts w:ascii="Arial" w:hAnsi="Arial" w:cs="Arial"/>
          <w:color w:val="000000" w:themeColor="text1"/>
          <w:sz w:val="24"/>
          <w:szCs w:val="24"/>
        </w:rPr>
      </w:pPr>
      <w:r w:rsidRPr="006300D5">
        <w:rPr>
          <w:rFonts w:ascii="Arial" w:hAnsi="Arial" w:cs="Arial"/>
          <w:color w:val="000000" w:themeColor="text1"/>
          <w:sz w:val="24"/>
          <w:szCs w:val="24"/>
        </w:rPr>
        <w:t>Model Overview</w:t>
      </w:r>
    </w:p>
    <w:p w14:paraId="4829CD52" w14:textId="77777777" w:rsidR="0021742E" w:rsidRPr="006300D5" w:rsidRDefault="00000000" w:rsidP="006300D5">
      <w:pPr>
        <w:spacing w:after="160" w:line="240" w:lineRule="auto"/>
        <w:rPr>
          <w:rFonts w:ascii="Arial" w:hAnsi="Arial" w:cs="Arial"/>
          <w:color w:val="000000" w:themeColor="text1"/>
          <w:sz w:val="24"/>
          <w:szCs w:val="24"/>
        </w:rPr>
      </w:pPr>
      <w:r w:rsidRPr="006300D5">
        <w:rPr>
          <w:rFonts w:ascii="Arial" w:hAnsi="Arial" w:cs="Arial"/>
          <w:color w:val="000000" w:themeColor="text1"/>
          <w:sz w:val="24"/>
          <w:szCs w:val="24"/>
        </w:rPr>
        <w:t>We developed a coarse-grained Brownian dynamics simulation to investigate how anomalous diffusion arising from ER membrane confinement influences IRE1α oligomerization kinetics. The simulation models IRE1 molecules as point-like particles that undergo Brownian motion and merge irreversibly upon contact, representing optogenetically induced CRY2Olig-mediated clustering. Two conditions are simulated in parallel: (1) ER-tethered IRE1, confined to a two-dimensional membrane with ER corral boundaries, and (2) cytoplasmic IRE1, diffusing freely in a three-dimensional volume. Both simulations use identical interaction rules; they differ only in the dimensionality and transport properties of the diffusive environment.</w:t>
      </w:r>
    </w:p>
    <w:p w14:paraId="06B6924B" w14:textId="77777777" w:rsidR="0021742E" w:rsidRPr="006300D5" w:rsidRDefault="00000000" w:rsidP="006300D5">
      <w:pPr>
        <w:pStyle w:val="Heading2"/>
        <w:spacing w:before="0" w:line="240" w:lineRule="auto"/>
        <w:rPr>
          <w:rFonts w:ascii="Arial" w:hAnsi="Arial" w:cs="Arial"/>
          <w:color w:val="000000" w:themeColor="text1"/>
          <w:sz w:val="24"/>
          <w:szCs w:val="24"/>
        </w:rPr>
      </w:pPr>
      <w:r w:rsidRPr="006300D5">
        <w:rPr>
          <w:rFonts w:ascii="Arial" w:hAnsi="Arial" w:cs="Arial"/>
          <w:color w:val="000000" w:themeColor="text1"/>
          <w:sz w:val="24"/>
          <w:szCs w:val="24"/>
        </w:rPr>
        <w:t>Simulation Domain and Initial Conditions</w:t>
      </w:r>
    </w:p>
    <w:p w14:paraId="2516F002" w14:textId="77777777" w:rsidR="0021742E" w:rsidRPr="006300D5" w:rsidRDefault="00000000" w:rsidP="006300D5">
      <w:pPr>
        <w:spacing w:after="160" w:line="240" w:lineRule="auto"/>
        <w:rPr>
          <w:rFonts w:ascii="Arial" w:hAnsi="Arial" w:cs="Arial"/>
          <w:color w:val="000000" w:themeColor="text1"/>
          <w:sz w:val="24"/>
          <w:szCs w:val="24"/>
        </w:rPr>
      </w:pPr>
      <w:r w:rsidRPr="006300D5">
        <w:rPr>
          <w:rFonts w:ascii="Arial" w:hAnsi="Arial" w:cs="Arial"/>
          <w:color w:val="000000" w:themeColor="text1"/>
          <w:sz w:val="24"/>
          <w:szCs w:val="24"/>
        </w:rPr>
        <w:t>Each simulation begins with N = 200 IRE1 monomers. For the ER-tethered condition, particles are placed randomly on a 12 × 12 μm² two-dimensional surface representing the ER membrane (z = 0). For the cytoplasmic condition, particles are initialized uniformly in a 12 × 12 × 8 μm³ three-dimensional volume. Reflecting boundary conditions are applied at all domain walls. Time is discretized with a step of Δt = 1 s, and simulations are run for a total of 36,000 steps (10 hours), matching the duration of the opto-IRE1 live-cell imaging experiments.</w:t>
      </w:r>
    </w:p>
    <w:p w14:paraId="7C024F5E" w14:textId="77777777" w:rsidR="0021742E" w:rsidRPr="006300D5" w:rsidRDefault="00000000" w:rsidP="006300D5">
      <w:pPr>
        <w:pStyle w:val="Heading2"/>
        <w:spacing w:before="0" w:line="240" w:lineRule="auto"/>
        <w:rPr>
          <w:rFonts w:ascii="Arial" w:hAnsi="Arial" w:cs="Arial"/>
          <w:color w:val="000000" w:themeColor="text1"/>
          <w:sz w:val="24"/>
          <w:szCs w:val="24"/>
        </w:rPr>
      </w:pPr>
      <w:r w:rsidRPr="006300D5">
        <w:rPr>
          <w:rFonts w:ascii="Arial" w:hAnsi="Arial" w:cs="Arial"/>
          <w:color w:val="000000" w:themeColor="text1"/>
          <w:sz w:val="24"/>
          <w:szCs w:val="24"/>
        </w:rPr>
        <w:t>Diffusion Model</w:t>
      </w:r>
    </w:p>
    <w:p w14:paraId="7FABD6C2"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b/>
          <w:color w:val="000000" w:themeColor="text1"/>
          <w:sz w:val="24"/>
          <w:szCs w:val="24"/>
        </w:rPr>
        <w:t xml:space="preserve">ER-tethered condition (2D with corrals). </w:t>
      </w:r>
      <w:r w:rsidRPr="006300D5">
        <w:rPr>
          <w:rFonts w:ascii="Arial" w:hAnsi="Arial" w:cs="Arial"/>
          <w:color w:val="000000" w:themeColor="text1"/>
          <w:sz w:val="24"/>
          <w:szCs w:val="24"/>
        </w:rPr>
        <w:t>Membrane-bound IRE1 diffuses in the x-y plane with a size-dependent diffusion coefficient following the Saffman–Delbrück model for membrane proteins:</w:t>
      </w:r>
    </w:p>
    <w:p w14:paraId="7E5ADC37" w14:textId="77777777" w:rsidR="0021742E" w:rsidRPr="006300D5" w:rsidRDefault="00000000" w:rsidP="006300D5">
      <w:pPr>
        <w:spacing w:line="240" w:lineRule="auto"/>
        <w:jc w:val="center"/>
        <w:rPr>
          <w:rFonts w:ascii="Arial" w:hAnsi="Arial" w:cs="Arial"/>
          <w:color w:val="000000" w:themeColor="text1"/>
          <w:sz w:val="24"/>
          <w:szCs w:val="24"/>
        </w:rPr>
      </w:pPr>
      <m:oMathPara>
        <m:oMath>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D</m:t>
              </m:r>
            </m:e>
            <m:sub>
              <m:r>
                <m:rPr>
                  <m:sty m:val="p"/>
                </m:rPr>
                <w:rPr>
                  <w:rFonts w:ascii="Cambria Math" w:hAnsi="Cambria Math" w:cs="Arial"/>
                  <w:color w:val="000000" w:themeColor="text1"/>
                  <w:sz w:val="24"/>
                  <w:szCs w:val="24"/>
                </w:rPr>
                <m:t>mem</m:t>
              </m:r>
            </m:sub>
          </m:sSub>
          <m:d>
            <m:dPr>
              <m:ctrlPr>
                <w:rPr>
                  <w:rFonts w:ascii="Cambria Math" w:hAnsi="Cambria Math" w:cs="Arial"/>
                  <w:color w:val="000000" w:themeColor="text1"/>
                  <w:sz w:val="24"/>
                  <w:szCs w:val="24"/>
                </w:rPr>
              </m:ctrlPr>
            </m:dPr>
            <m:e>
              <m:r>
                <w:rPr>
                  <w:rFonts w:ascii="Cambria Math" w:hAnsi="Cambria Math" w:cs="Arial"/>
                  <w:color w:val="000000" w:themeColor="text1"/>
                  <w:sz w:val="24"/>
                  <w:szCs w:val="24"/>
                </w:rPr>
                <m:t>n</m:t>
              </m:r>
            </m:e>
          </m:d>
          <m:r>
            <m:rPr>
              <m:sty m:val="p"/>
            </m:rPr>
            <w:rPr>
              <w:rFonts w:ascii="Cambria Math" w:hAnsi="Cambria Math" w:cs="Arial"/>
              <w:color w:val="000000" w:themeColor="text1"/>
              <w:sz w:val="24"/>
              <w:szCs w:val="24"/>
            </w:rPr>
            <m:t xml:space="preserve"> = </m:t>
          </m:r>
          <m:f>
            <m:fPr>
              <m:ctrlPr>
                <w:rPr>
                  <w:rFonts w:ascii="Cambria Math" w:hAnsi="Cambria Math" w:cs="Arial"/>
                  <w:color w:val="000000" w:themeColor="text1"/>
                  <w:sz w:val="24"/>
                  <w:szCs w:val="24"/>
                </w:rPr>
              </m:ctrlPr>
            </m:fPr>
            <m:num>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D</m:t>
                  </m:r>
                </m:e>
                <m:sub>
                  <m:r>
                    <m:rPr>
                      <m:sty m:val="p"/>
                    </m:rPr>
                    <w:rPr>
                      <w:rFonts w:ascii="Cambria Math" w:hAnsi="Cambria Math" w:cs="Arial"/>
                      <w:color w:val="000000" w:themeColor="text1"/>
                      <w:sz w:val="24"/>
                      <w:szCs w:val="24"/>
                    </w:rPr>
                    <m:t>0</m:t>
                  </m:r>
                </m:sub>
              </m:sSub>
            </m:num>
            <m:den>
              <m:r>
                <w:rPr>
                  <w:rFonts w:ascii="Cambria Math" w:hAnsi="Cambria Math" w:cs="Arial"/>
                  <w:color w:val="000000" w:themeColor="text1"/>
                  <w:sz w:val="24"/>
                  <w:szCs w:val="24"/>
                </w:rPr>
                <m:t>n</m:t>
              </m:r>
            </m:den>
          </m:f>
        </m:oMath>
      </m:oMathPara>
    </w:p>
    <w:p w14:paraId="7EBF210A"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color w:val="000000" w:themeColor="text1"/>
          <w:sz w:val="24"/>
          <w:szCs w:val="24"/>
        </w:rPr>
        <w:t>where D</w:t>
      </w:r>
      <w:r w:rsidRPr="006300D5">
        <w:rPr>
          <w:rFonts w:ascii="Cambria Math" w:hAnsi="Cambria Math" w:cs="Cambria Math"/>
          <w:color w:val="000000" w:themeColor="text1"/>
          <w:sz w:val="24"/>
          <w:szCs w:val="24"/>
        </w:rPr>
        <w:t>₀</w:t>
      </w:r>
      <w:r w:rsidRPr="006300D5">
        <w:rPr>
          <w:rFonts w:ascii="Arial" w:hAnsi="Arial" w:cs="Arial"/>
          <w:color w:val="000000" w:themeColor="text1"/>
          <w:sz w:val="24"/>
          <w:szCs w:val="24"/>
        </w:rPr>
        <w:t xml:space="preserve"> = 0.005 μm²/s is the monomer diffusion coefficient on the ER membrane and n is the number of IRE1 molecules in the cluster. At each time step, each particle receives a Gaussian displacement in x and y:</w:t>
      </w:r>
    </w:p>
    <w:p w14:paraId="05636E9A" w14:textId="77777777" w:rsidR="0021742E" w:rsidRPr="006300D5" w:rsidRDefault="00000000" w:rsidP="006300D5">
      <w:pPr>
        <w:spacing w:line="240" w:lineRule="auto"/>
        <w:jc w:val="center"/>
        <w:rPr>
          <w:rFonts w:ascii="Arial" w:hAnsi="Arial" w:cs="Arial"/>
          <w:color w:val="000000" w:themeColor="text1"/>
          <w:sz w:val="24"/>
          <w:szCs w:val="24"/>
        </w:rPr>
      </w:pPr>
      <m:oMathPara>
        <m:oMath>
          <m:r>
            <w:rPr>
              <w:rFonts w:ascii="Cambria Math" w:hAnsi="Cambria Math" w:cs="Arial"/>
              <w:color w:val="000000" w:themeColor="text1"/>
              <w:sz w:val="24"/>
              <w:szCs w:val="24"/>
            </w:rPr>
            <m:t>Δx</m:t>
          </m:r>
          <m:r>
            <m:rPr>
              <m:sty m:val="p"/>
            </m:rPr>
            <w:rPr>
              <w:rFonts w:ascii="Cambria Math" w:hAnsi="Cambria Math" w:cs="Arial"/>
              <w:color w:val="000000" w:themeColor="text1"/>
              <w:sz w:val="24"/>
              <w:szCs w:val="24"/>
            </w:rPr>
            <m:t xml:space="preserve"> ~ </m:t>
          </m:r>
          <m:r>
            <w:rPr>
              <w:rFonts w:ascii="Cambria Math" w:hAnsi="Cambria Math" w:cs="Arial"/>
              <w:color w:val="000000" w:themeColor="text1"/>
              <w:sz w:val="24"/>
              <w:szCs w:val="24"/>
            </w:rPr>
            <m:t>Ν</m:t>
          </m:r>
          <m:d>
            <m:dPr>
              <m:ctrlPr>
                <w:rPr>
                  <w:rFonts w:ascii="Cambria Math" w:hAnsi="Cambria Math" w:cs="Arial"/>
                  <w:color w:val="000000" w:themeColor="text1"/>
                  <w:sz w:val="24"/>
                  <w:szCs w:val="24"/>
                </w:rPr>
              </m:ctrlPr>
            </m:dPr>
            <m:e>
              <m:r>
                <m:rPr>
                  <m:sty m:val="p"/>
                </m:rPr>
                <w:rPr>
                  <w:rFonts w:ascii="Cambria Math" w:hAnsi="Cambria Math" w:cs="Arial"/>
                  <w:color w:val="000000" w:themeColor="text1"/>
                  <w:sz w:val="24"/>
                  <w:szCs w:val="24"/>
                </w:rPr>
                <m:t xml:space="preserve">0, </m:t>
              </m:r>
              <m:rad>
                <m:radPr>
                  <m:ctrlPr>
                    <w:rPr>
                      <w:rFonts w:ascii="Cambria Math" w:hAnsi="Cambria Math" w:cs="Arial"/>
                      <w:color w:val="000000" w:themeColor="text1"/>
                      <w:sz w:val="24"/>
                      <w:szCs w:val="24"/>
                    </w:rPr>
                  </m:ctrlPr>
                </m:radPr>
                <m:deg/>
                <m:e>
                  <m:r>
                    <m:rPr>
                      <m:sty m:val="p"/>
                    </m:rPr>
                    <w:rPr>
                      <w:rFonts w:ascii="Cambria Math" w:hAnsi="Cambria Math" w:cs="Arial"/>
                      <w:color w:val="000000" w:themeColor="text1"/>
                      <w:sz w:val="24"/>
                      <w:szCs w:val="24"/>
                    </w:rPr>
                    <m:t>2</m:t>
                  </m:r>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D</m:t>
                      </m:r>
                    </m:e>
                    <m:sub>
                      <m:r>
                        <m:rPr>
                          <m:sty m:val="p"/>
                        </m:rPr>
                        <w:rPr>
                          <w:rFonts w:ascii="Cambria Math" w:hAnsi="Cambria Math" w:cs="Arial"/>
                          <w:color w:val="000000" w:themeColor="text1"/>
                          <w:sz w:val="24"/>
                          <w:szCs w:val="24"/>
                        </w:rPr>
                        <m:t>mem</m:t>
                      </m:r>
                    </m:sub>
                  </m:sSub>
                  <m:r>
                    <w:rPr>
                      <w:rFonts w:ascii="Cambria Math" w:hAnsi="Cambria Math" w:cs="Arial"/>
                      <w:color w:val="000000" w:themeColor="text1"/>
                      <w:sz w:val="24"/>
                      <w:szCs w:val="24"/>
                    </w:rPr>
                    <m:t>Δt</m:t>
                  </m:r>
                </m:e>
              </m:rad>
            </m:e>
          </m:d>
        </m:oMath>
      </m:oMathPara>
    </w:p>
    <w:p w14:paraId="5296C80F"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color w:val="000000" w:themeColor="text1"/>
          <w:sz w:val="24"/>
          <w:szCs w:val="24"/>
        </w:rPr>
        <w:t>The ER membrane is modeled as a grid of square corrals with side length L</w:t>
      </w:r>
      <w:r w:rsidRPr="006300D5">
        <w:rPr>
          <w:rFonts w:ascii="Cambria Math" w:hAnsi="Cambria Math" w:cs="Cambria Math"/>
          <w:color w:val="000000" w:themeColor="text1"/>
          <w:sz w:val="24"/>
          <w:szCs w:val="24"/>
        </w:rPr>
        <w:t>₁</w:t>
      </w:r>
      <w:r w:rsidRPr="006300D5">
        <w:rPr>
          <w:rFonts w:ascii="Arial" w:hAnsi="Arial" w:cs="Arial"/>
          <w:color w:val="000000" w:themeColor="text1"/>
          <w:sz w:val="24"/>
          <w:szCs w:val="24"/>
        </w:rPr>
        <w:t xml:space="preserve"> = 1.2 μm, representing the compartmentalization of the ER sheet by tubular structures. When a particle’s proposed displacement would cross a corral boundary, the crossing is accepted with hopping probability p</w:t>
      </w:r>
      <w:r w:rsidRPr="006300D5">
        <w:rPr>
          <w:rFonts w:ascii="Segoe UI Symbol" w:hAnsi="Segoe UI Symbol" w:cs="Segoe UI Symbol"/>
          <w:color w:val="000000" w:themeColor="text1"/>
          <w:sz w:val="24"/>
          <w:szCs w:val="24"/>
        </w:rPr>
        <w:t>ₕ</w:t>
      </w:r>
      <w:r w:rsidRPr="006300D5">
        <w:rPr>
          <w:rFonts w:ascii="Arial" w:hAnsi="Arial" w:cs="Arial"/>
          <w:color w:val="000000" w:themeColor="text1"/>
          <w:sz w:val="24"/>
          <w:szCs w:val="24"/>
        </w:rPr>
        <w:t>ₒ</w:t>
      </w:r>
      <w:r w:rsidRPr="006300D5">
        <w:rPr>
          <w:rFonts w:ascii="Segoe UI Symbol" w:hAnsi="Segoe UI Symbol" w:cs="Segoe UI Symbol"/>
          <w:color w:val="000000" w:themeColor="text1"/>
          <w:sz w:val="24"/>
          <w:szCs w:val="24"/>
        </w:rPr>
        <w:t>ₗ</w:t>
      </w:r>
      <w:r w:rsidRPr="006300D5">
        <w:rPr>
          <w:rFonts w:ascii="Arial" w:hAnsi="Arial" w:cs="Arial"/>
          <w:color w:val="000000" w:themeColor="text1"/>
          <w:sz w:val="24"/>
          <w:szCs w:val="24"/>
        </w:rPr>
        <w:t xml:space="preserve"> and reflected otherwise. The base hopping probability is set to p</w:t>
      </w:r>
      <w:r w:rsidRPr="006300D5">
        <w:rPr>
          <w:rFonts w:ascii="Segoe UI Symbol" w:hAnsi="Segoe UI Symbol" w:cs="Segoe UI Symbol"/>
          <w:color w:val="000000" w:themeColor="text1"/>
          <w:sz w:val="24"/>
          <w:szCs w:val="24"/>
        </w:rPr>
        <w:t>ₕ</w:t>
      </w:r>
      <w:r w:rsidRPr="006300D5">
        <w:rPr>
          <w:rFonts w:ascii="Arial" w:hAnsi="Arial" w:cs="Arial"/>
          <w:color w:val="000000" w:themeColor="text1"/>
          <w:sz w:val="24"/>
          <w:szCs w:val="24"/>
        </w:rPr>
        <w:t>ₒ</w:t>
      </w:r>
      <w:r w:rsidRPr="006300D5">
        <w:rPr>
          <w:rFonts w:ascii="Segoe UI Symbol" w:hAnsi="Segoe UI Symbol" w:cs="Segoe UI Symbol"/>
          <w:color w:val="000000" w:themeColor="text1"/>
          <w:sz w:val="24"/>
          <w:szCs w:val="24"/>
        </w:rPr>
        <w:t>ₗ</w:t>
      </w:r>
      <w:r w:rsidRPr="006300D5">
        <w:rPr>
          <w:rFonts w:ascii="Arial" w:hAnsi="Arial" w:cs="Arial"/>
          <w:color w:val="000000" w:themeColor="text1"/>
          <w:sz w:val="24"/>
          <w:szCs w:val="24"/>
        </w:rPr>
        <w:t xml:space="preserve"> = 3 × 10</w:t>
      </w:r>
      <w:r w:rsidRPr="006300D5">
        <w:rPr>
          <w:rFonts w:ascii="Cambria Math" w:hAnsi="Cambria Math" w:cs="Cambria Math"/>
          <w:color w:val="000000" w:themeColor="text1"/>
          <w:sz w:val="24"/>
          <w:szCs w:val="24"/>
        </w:rPr>
        <w:t>⁻</w:t>
      </w:r>
      <w:r w:rsidRPr="006300D5">
        <w:rPr>
          <w:rFonts w:ascii="Arial" w:hAnsi="Arial" w:cs="Arial"/>
          <w:color w:val="000000" w:themeColor="text1"/>
          <w:sz w:val="24"/>
          <w:szCs w:val="24"/>
        </w:rPr>
        <w:t>⁴, with a weak size-dependent correction:</w:t>
      </w:r>
    </w:p>
    <w:p w14:paraId="7D85D78A" w14:textId="77777777" w:rsidR="0021742E" w:rsidRPr="006300D5" w:rsidRDefault="00000000" w:rsidP="006300D5">
      <w:pPr>
        <w:spacing w:line="240" w:lineRule="auto"/>
        <w:jc w:val="center"/>
        <w:rPr>
          <w:rFonts w:ascii="Arial" w:hAnsi="Arial" w:cs="Arial"/>
          <w:color w:val="000000" w:themeColor="text1"/>
          <w:sz w:val="24"/>
          <w:szCs w:val="24"/>
        </w:rPr>
      </w:pPr>
      <m:oMathPara>
        <m:oMath>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p</m:t>
              </m:r>
            </m:e>
            <m:sub>
              <m:r>
                <m:rPr>
                  <m:sty m:val="p"/>
                </m:rPr>
                <w:rPr>
                  <w:rFonts w:ascii="Cambria Math" w:hAnsi="Cambria Math" w:cs="Arial"/>
                  <w:color w:val="000000" w:themeColor="text1"/>
                  <w:sz w:val="24"/>
                  <w:szCs w:val="24"/>
                </w:rPr>
                <m:t>eff</m:t>
              </m:r>
            </m:sub>
          </m:sSub>
          <m:r>
            <m:rPr>
              <m:sty m:val="p"/>
            </m:rPr>
            <w:rPr>
              <w:rFonts w:ascii="Cambria Math" w:hAnsi="Cambria Math" w:cs="Arial"/>
              <w:color w:val="000000" w:themeColor="text1"/>
              <w:sz w:val="24"/>
              <w:szCs w:val="24"/>
            </w:rPr>
            <m:t xml:space="preserve"> = min</m:t>
          </m:r>
          <m:d>
            <m:dPr>
              <m:ctrlPr>
                <w:rPr>
                  <w:rFonts w:ascii="Cambria Math" w:hAnsi="Cambria Math" w:cs="Arial"/>
                  <w:color w:val="000000" w:themeColor="text1"/>
                  <w:sz w:val="24"/>
                  <w:szCs w:val="24"/>
                </w:rPr>
              </m:ctrlPr>
            </m:dPr>
            <m:e>
              <m:r>
                <m:rPr>
                  <m:sty m:val="p"/>
                </m:rPr>
                <w:rPr>
                  <w:rFonts w:ascii="Cambria Math" w:hAnsi="Cambria Math" w:cs="Arial"/>
                  <w:color w:val="000000" w:themeColor="text1"/>
                  <w:sz w:val="24"/>
                  <w:szCs w:val="24"/>
                </w:rPr>
                <m:t xml:space="preserve">1, </m:t>
              </m:r>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p</m:t>
                  </m:r>
                </m:e>
                <m:sub>
                  <m:r>
                    <m:rPr>
                      <m:sty m:val="p"/>
                    </m:rPr>
                    <w:rPr>
                      <w:rFonts w:ascii="Cambria Math" w:hAnsi="Cambria Math" w:cs="Arial"/>
                      <w:color w:val="000000" w:themeColor="text1"/>
                      <w:sz w:val="24"/>
                      <w:szCs w:val="24"/>
                    </w:rPr>
                    <m:t>hop</m:t>
                  </m:r>
                </m:sub>
              </m:sSub>
              <m:d>
                <m:dPr>
                  <m:ctrlPr>
                    <w:rPr>
                      <w:rFonts w:ascii="Cambria Math" w:hAnsi="Cambria Math" w:cs="Arial"/>
                      <w:color w:val="000000" w:themeColor="text1"/>
                      <w:sz w:val="24"/>
                      <w:szCs w:val="24"/>
                    </w:rPr>
                  </m:ctrlPr>
                </m:dPr>
                <m:e>
                  <m:r>
                    <m:rPr>
                      <m:sty m:val="p"/>
                    </m:rPr>
                    <w:rPr>
                      <w:rFonts w:ascii="Cambria Math" w:hAnsi="Cambria Math" w:cs="Arial"/>
                      <w:color w:val="000000" w:themeColor="text1"/>
                      <w:sz w:val="24"/>
                      <w:szCs w:val="24"/>
                    </w:rPr>
                    <m:t>1 + 3</m:t>
                  </m:r>
                  <m:f>
                    <m:fPr>
                      <m:ctrlPr>
                        <w:rPr>
                          <w:rFonts w:ascii="Cambria Math" w:hAnsi="Cambria Math" w:cs="Arial"/>
                          <w:color w:val="000000" w:themeColor="text1"/>
                          <w:sz w:val="24"/>
                          <w:szCs w:val="24"/>
                        </w:rPr>
                      </m:ctrlPr>
                    </m:fPr>
                    <m:num>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eff</m:t>
                          </m:r>
                        </m:sub>
                      </m:sSub>
                    </m:num>
                    <m:den>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L</m:t>
                          </m:r>
                        </m:e>
                        <m:sub>
                          <m:r>
                            <m:rPr>
                              <m:sty m:val="p"/>
                            </m:rPr>
                            <w:rPr>
                              <w:rFonts w:ascii="Cambria Math" w:hAnsi="Cambria Math" w:cs="Arial"/>
                              <w:color w:val="000000" w:themeColor="text1"/>
                              <w:sz w:val="24"/>
                              <w:szCs w:val="24"/>
                            </w:rPr>
                            <m:t>c</m:t>
                          </m:r>
                        </m:sub>
                      </m:sSub>
                    </m:den>
                  </m:f>
                </m:e>
              </m:d>
            </m:e>
          </m:d>
        </m:oMath>
      </m:oMathPara>
    </w:p>
    <w:p w14:paraId="12AABF26"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color w:val="000000" w:themeColor="text1"/>
          <w:sz w:val="24"/>
          <w:szCs w:val="24"/>
        </w:rPr>
        <w:t>where rₑff = r</w:t>
      </w:r>
      <w:r w:rsidRPr="006300D5">
        <w:rPr>
          <w:rFonts w:ascii="Cambria Math" w:hAnsi="Cambria Math" w:cs="Cambria Math"/>
          <w:color w:val="000000" w:themeColor="text1"/>
          <w:sz w:val="24"/>
          <w:szCs w:val="24"/>
        </w:rPr>
        <w:t>₀</w:t>
      </w:r>
      <w:r w:rsidRPr="006300D5">
        <w:rPr>
          <w:rFonts w:ascii="Arial" w:hAnsi="Arial" w:cs="Arial"/>
          <w:color w:val="000000" w:themeColor="text1"/>
          <w:sz w:val="24"/>
          <w:szCs w:val="24"/>
        </w:rPr>
        <w:t xml:space="preserve"> · n¹″³ is the effective cluster radius (see below). This correction accounts for the fact that very large clusters may span multiple corrals and are </w:t>
      </w:r>
      <w:r w:rsidRPr="006300D5">
        <w:rPr>
          <w:rFonts w:ascii="Arial" w:hAnsi="Arial" w:cs="Arial"/>
          <w:color w:val="000000" w:themeColor="text1"/>
          <w:sz w:val="24"/>
          <w:szCs w:val="24"/>
        </w:rPr>
        <w:lastRenderedPageBreak/>
        <w:t>therefore less affected by the confining geometry. The corral model produces subdiffusive motion (α &lt; 1) on timescales comparable to the corral exploration time tᶜ ≈ Lᶜ² / (4D), because the mean squared displacement saturates once a particle has explored the interior of its corral.</w:t>
      </w:r>
    </w:p>
    <w:p w14:paraId="3B73CB94"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b/>
          <w:color w:val="000000" w:themeColor="text1"/>
          <w:sz w:val="24"/>
          <w:szCs w:val="24"/>
        </w:rPr>
        <w:t xml:space="preserve">Cytoplasmic condition (3D free Brownian motion). </w:t>
      </w:r>
      <w:r w:rsidRPr="006300D5">
        <w:rPr>
          <w:rFonts w:ascii="Arial" w:hAnsi="Arial" w:cs="Arial"/>
          <w:color w:val="000000" w:themeColor="text1"/>
          <w:sz w:val="24"/>
          <w:szCs w:val="24"/>
        </w:rPr>
        <w:t>Cytoplasmic IRE1 diffuses freely in all three spatial dimensions. The diffusion coefficient follows the Stokes–Einstein relation for spherical clusters:</w:t>
      </w:r>
    </w:p>
    <w:p w14:paraId="6455BE23" w14:textId="77777777" w:rsidR="0021742E" w:rsidRPr="006300D5" w:rsidRDefault="00000000" w:rsidP="006300D5">
      <w:pPr>
        <w:spacing w:line="240" w:lineRule="auto"/>
        <w:jc w:val="center"/>
        <w:rPr>
          <w:rFonts w:ascii="Arial" w:hAnsi="Arial" w:cs="Arial"/>
          <w:color w:val="000000" w:themeColor="text1"/>
          <w:sz w:val="24"/>
          <w:szCs w:val="24"/>
        </w:rPr>
      </w:pPr>
      <m:oMathPara>
        <m:oMath>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D</m:t>
              </m:r>
            </m:e>
            <m:sub>
              <m:r>
                <m:rPr>
                  <m:sty m:val="p"/>
                </m:rPr>
                <w:rPr>
                  <w:rFonts w:ascii="Cambria Math" w:hAnsi="Cambria Math" w:cs="Arial"/>
                  <w:color w:val="000000" w:themeColor="text1"/>
                  <w:sz w:val="24"/>
                  <w:szCs w:val="24"/>
                </w:rPr>
                <m:t>cyto</m:t>
              </m:r>
            </m:sub>
          </m:sSub>
          <m:d>
            <m:dPr>
              <m:ctrlPr>
                <w:rPr>
                  <w:rFonts w:ascii="Cambria Math" w:hAnsi="Cambria Math" w:cs="Arial"/>
                  <w:color w:val="000000" w:themeColor="text1"/>
                  <w:sz w:val="24"/>
                  <w:szCs w:val="24"/>
                </w:rPr>
              </m:ctrlPr>
            </m:dPr>
            <m:e>
              <m:r>
                <w:rPr>
                  <w:rFonts w:ascii="Cambria Math" w:hAnsi="Cambria Math" w:cs="Arial"/>
                  <w:color w:val="000000" w:themeColor="text1"/>
                  <w:sz w:val="24"/>
                  <w:szCs w:val="24"/>
                </w:rPr>
                <m:t>n</m:t>
              </m:r>
            </m:e>
          </m:d>
          <m:r>
            <m:rPr>
              <m:sty m:val="p"/>
            </m:rPr>
            <w:rPr>
              <w:rFonts w:ascii="Cambria Math" w:hAnsi="Cambria Math" w:cs="Arial"/>
              <w:color w:val="000000" w:themeColor="text1"/>
              <w:sz w:val="24"/>
              <w:szCs w:val="24"/>
            </w:rPr>
            <m:t xml:space="preserve"> = </m:t>
          </m:r>
          <m:f>
            <m:fPr>
              <m:ctrlPr>
                <w:rPr>
                  <w:rFonts w:ascii="Cambria Math" w:hAnsi="Cambria Math" w:cs="Arial"/>
                  <w:color w:val="000000" w:themeColor="text1"/>
                  <w:sz w:val="24"/>
                  <w:szCs w:val="24"/>
                </w:rPr>
              </m:ctrlPr>
            </m:fPr>
            <m:num>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D</m:t>
                  </m:r>
                </m:e>
                <m:sub>
                  <m:r>
                    <m:rPr>
                      <m:sty m:val="p"/>
                    </m:rPr>
                    <w:rPr>
                      <w:rFonts w:ascii="Cambria Math" w:hAnsi="Cambria Math" w:cs="Arial"/>
                      <w:color w:val="000000" w:themeColor="text1"/>
                      <w:sz w:val="24"/>
                      <w:szCs w:val="24"/>
                    </w:rPr>
                    <m:t>0</m:t>
                  </m:r>
                </m:sub>
              </m:sSub>
            </m:num>
            <m:den>
              <m:sSup>
                <m:sSupPr>
                  <m:ctrlPr>
                    <w:rPr>
                      <w:rFonts w:ascii="Cambria Math" w:hAnsi="Cambria Math" w:cs="Arial"/>
                      <w:color w:val="000000" w:themeColor="text1"/>
                      <w:sz w:val="24"/>
                      <w:szCs w:val="24"/>
                    </w:rPr>
                  </m:ctrlPr>
                </m:sSupPr>
                <m:e>
                  <m:r>
                    <w:rPr>
                      <w:rFonts w:ascii="Cambria Math" w:hAnsi="Cambria Math" w:cs="Arial"/>
                      <w:color w:val="000000" w:themeColor="text1"/>
                      <w:sz w:val="24"/>
                      <w:szCs w:val="24"/>
                    </w:rPr>
                    <m:t>n</m:t>
                  </m:r>
                </m:e>
                <m:sup>
                  <m:r>
                    <m:rPr>
                      <m:sty m:val="p"/>
                    </m:rPr>
                    <w:rPr>
                      <w:rFonts w:ascii="Cambria Math" w:hAnsi="Cambria Math" w:cs="Arial"/>
                      <w:color w:val="000000" w:themeColor="text1"/>
                      <w:sz w:val="24"/>
                      <w:szCs w:val="24"/>
                    </w:rPr>
                    <m:t>1/3</m:t>
                  </m:r>
                </m:sup>
              </m:sSup>
            </m:den>
          </m:f>
        </m:oMath>
      </m:oMathPara>
    </w:p>
    <w:p w14:paraId="486C2898" w14:textId="77777777" w:rsidR="0021742E" w:rsidRPr="006300D5" w:rsidRDefault="00000000" w:rsidP="006300D5">
      <w:pPr>
        <w:spacing w:after="160" w:line="240" w:lineRule="auto"/>
        <w:rPr>
          <w:rFonts w:ascii="Arial" w:hAnsi="Arial" w:cs="Arial"/>
          <w:color w:val="000000" w:themeColor="text1"/>
          <w:sz w:val="24"/>
          <w:szCs w:val="24"/>
        </w:rPr>
      </w:pPr>
      <w:r w:rsidRPr="006300D5">
        <w:rPr>
          <w:rFonts w:ascii="Arial" w:hAnsi="Arial" w:cs="Arial"/>
          <w:color w:val="000000" w:themeColor="text1"/>
          <w:sz w:val="24"/>
          <w:szCs w:val="24"/>
        </w:rPr>
        <w:t>where D</w:t>
      </w:r>
      <w:r w:rsidRPr="006300D5">
        <w:rPr>
          <w:rFonts w:ascii="Cambria Math" w:hAnsi="Cambria Math" w:cs="Cambria Math"/>
          <w:color w:val="000000" w:themeColor="text1"/>
          <w:sz w:val="24"/>
          <w:szCs w:val="24"/>
        </w:rPr>
        <w:t>₀</w:t>
      </w:r>
      <w:r w:rsidRPr="006300D5">
        <w:rPr>
          <w:rFonts w:ascii="Arial" w:hAnsi="Arial" w:cs="Arial"/>
          <w:color w:val="000000" w:themeColor="text1"/>
          <w:sz w:val="24"/>
          <w:szCs w:val="24"/>
        </w:rPr>
        <w:t xml:space="preserve"> = 0.15 μm²/s for the cytoplasmic condition (30-fold higher than the membrane value, reflecting the lower viscous drag in the cytosol compared to a lipid bilayer). No corral boundaries are applied; the only spatial constraints are the reflecting domain walls. This produces normal Brownian diffusion with α ≈ 1.0 at all timescales.</w:t>
      </w:r>
    </w:p>
    <w:p w14:paraId="785E2DED" w14:textId="77777777" w:rsidR="0021742E" w:rsidRPr="006300D5" w:rsidRDefault="00000000" w:rsidP="006300D5">
      <w:pPr>
        <w:pStyle w:val="Heading2"/>
        <w:spacing w:before="0" w:line="240" w:lineRule="auto"/>
        <w:rPr>
          <w:rFonts w:ascii="Arial" w:hAnsi="Arial" w:cs="Arial"/>
          <w:color w:val="000000" w:themeColor="text1"/>
          <w:sz w:val="24"/>
          <w:szCs w:val="24"/>
        </w:rPr>
      </w:pPr>
      <w:r w:rsidRPr="006300D5">
        <w:rPr>
          <w:rFonts w:ascii="Arial" w:hAnsi="Arial" w:cs="Arial"/>
          <w:color w:val="000000" w:themeColor="text1"/>
          <w:sz w:val="24"/>
          <w:szCs w:val="24"/>
        </w:rPr>
        <w:t>Cluster Merging</w:t>
      </w:r>
    </w:p>
    <w:p w14:paraId="5014CDB7"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color w:val="000000" w:themeColor="text1"/>
          <w:sz w:val="24"/>
          <w:szCs w:val="24"/>
        </w:rPr>
        <w:t>At each time step, pairwise distances are computed between all clusters using SciPy’s cdist function (2D Euclidean distance for ER, 3D for cytoplasm). Two clusters i and j merge irreversibly when their separation is less than the sum of their effective radii:</w:t>
      </w:r>
    </w:p>
    <w:p w14:paraId="4924BF9E" w14:textId="77777777" w:rsidR="0021742E" w:rsidRPr="006300D5" w:rsidRDefault="00000000" w:rsidP="006300D5">
      <w:pPr>
        <w:spacing w:line="240" w:lineRule="auto"/>
        <w:jc w:val="center"/>
        <w:rPr>
          <w:rFonts w:ascii="Arial" w:hAnsi="Arial" w:cs="Arial"/>
          <w:color w:val="000000" w:themeColor="text1"/>
          <w:sz w:val="24"/>
          <w:szCs w:val="24"/>
        </w:rPr>
      </w:pPr>
      <m:oMathPara>
        <m:oMath>
          <m:r>
            <w:rPr>
              <w:rFonts w:ascii="Cambria Math" w:hAnsi="Cambria Math" w:cs="Arial"/>
              <w:color w:val="000000" w:themeColor="text1"/>
              <w:sz w:val="24"/>
              <w:szCs w:val="24"/>
            </w:rPr>
            <m:t>d</m:t>
          </m:r>
          <m:d>
            <m:dPr>
              <m:ctrlPr>
                <w:rPr>
                  <w:rFonts w:ascii="Cambria Math" w:hAnsi="Cambria Math" w:cs="Arial"/>
                  <w:color w:val="000000" w:themeColor="text1"/>
                  <w:sz w:val="24"/>
                  <w:szCs w:val="24"/>
                </w:rPr>
              </m:ctrlPr>
            </m:dPr>
            <m:e>
              <m:r>
                <w:rPr>
                  <w:rFonts w:ascii="Cambria Math" w:hAnsi="Cambria Math" w:cs="Arial"/>
                  <w:color w:val="000000" w:themeColor="text1"/>
                  <w:sz w:val="24"/>
                  <w:szCs w:val="24"/>
                </w:rPr>
                <m:t>i</m:t>
              </m:r>
              <m:r>
                <m:rPr>
                  <m:sty m:val="p"/>
                </m:rPr>
                <w:rPr>
                  <w:rFonts w:ascii="Cambria Math" w:hAnsi="Cambria Math" w:cs="Arial"/>
                  <w:color w:val="000000" w:themeColor="text1"/>
                  <w:sz w:val="24"/>
                  <w:szCs w:val="24"/>
                </w:rPr>
                <m:t xml:space="preserve">, </m:t>
              </m:r>
              <m:r>
                <w:rPr>
                  <w:rFonts w:ascii="Cambria Math" w:hAnsi="Cambria Math" w:cs="Arial"/>
                  <w:color w:val="000000" w:themeColor="text1"/>
                  <w:sz w:val="24"/>
                  <w:szCs w:val="24"/>
                </w:rPr>
                <m:t>j</m:t>
              </m:r>
            </m:e>
          </m:d>
          <m:r>
            <m:rPr>
              <m:sty m:val="p"/>
            </m:rPr>
            <w:rPr>
              <w:rFonts w:ascii="Cambria Math" w:hAnsi="Cambria Math" w:cs="Arial"/>
              <w:color w:val="000000" w:themeColor="text1"/>
              <w:sz w:val="24"/>
              <w:szCs w:val="24"/>
            </w:rPr>
            <m:t xml:space="preserve"> &lt; </m:t>
          </m:r>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eff,i</m:t>
              </m:r>
            </m:sub>
          </m:sSub>
          <m:r>
            <m:rPr>
              <m:sty m:val="p"/>
            </m:rPr>
            <w:rPr>
              <w:rFonts w:ascii="Cambria Math" w:hAnsi="Cambria Math" w:cs="Arial"/>
              <w:color w:val="000000" w:themeColor="text1"/>
              <w:sz w:val="24"/>
              <w:szCs w:val="24"/>
            </w:rPr>
            <m:t xml:space="preserve"> + </m:t>
          </m:r>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eff,j</m:t>
              </m:r>
            </m:sub>
          </m:sSub>
        </m:oMath>
      </m:oMathPara>
    </w:p>
    <w:p w14:paraId="21D7FDF2"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color w:val="000000" w:themeColor="text1"/>
          <w:sz w:val="24"/>
          <w:szCs w:val="24"/>
        </w:rPr>
        <w:t>where the effective radius of a cluster of n molecules is:</w:t>
      </w:r>
    </w:p>
    <w:p w14:paraId="7635F5D1" w14:textId="77777777" w:rsidR="0021742E" w:rsidRPr="006300D5" w:rsidRDefault="00000000" w:rsidP="006300D5">
      <w:pPr>
        <w:spacing w:line="240" w:lineRule="auto"/>
        <w:jc w:val="center"/>
        <w:rPr>
          <w:rFonts w:ascii="Arial" w:hAnsi="Arial" w:cs="Arial"/>
          <w:color w:val="000000" w:themeColor="text1"/>
          <w:sz w:val="24"/>
          <w:szCs w:val="24"/>
        </w:rPr>
      </w:pPr>
      <m:oMathPara>
        <m:oMath>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eff</m:t>
              </m:r>
            </m:sub>
          </m:sSub>
          <m:r>
            <m:rPr>
              <m:sty m:val="p"/>
            </m:rPr>
            <w:rPr>
              <w:rFonts w:ascii="Cambria Math" w:hAnsi="Cambria Math" w:cs="Arial"/>
              <w:color w:val="000000" w:themeColor="text1"/>
              <w:sz w:val="24"/>
              <w:szCs w:val="24"/>
            </w:rPr>
            <m:t xml:space="preserve"> = </m:t>
          </m:r>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r</m:t>
              </m:r>
            </m:e>
            <m:sub>
              <m:r>
                <m:rPr>
                  <m:sty m:val="p"/>
                </m:rPr>
                <w:rPr>
                  <w:rFonts w:ascii="Cambria Math" w:hAnsi="Cambria Math" w:cs="Arial"/>
                  <w:color w:val="000000" w:themeColor="text1"/>
                  <w:sz w:val="24"/>
                  <w:szCs w:val="24"/>
                </w:rPr>
                <m:t>0</m:t>
              </m:r>
            </m:sub>
          </m:sSub>
          <m:r>
            <m:rPr>
              <m:sty m:val="p"/>
            </m:rPr>
            <w:rPr>
              <w:rFonts w:ascii="Cambria Math" w:hAnsi="Cambria Math" w:cs="Arial"/>
              <w:color w:val="000000" w:themeColor="text1"/>
              <w:sz w:val="24"/>
              <w:szCs w:val="24"/>
            </w:rPr>
            <m:t xml:space="preserve"> · </m:t>
          </m:r>
          <m:sSup>
            <m:sSupPr>
              <m:ctrlPr>
                <w:rPr>
                  <w:rFonts w:ascii="Cambria Math" w:hAnsi="Cambria Math" w:cs="Arial"/>
                  <w:color w:val="000000" w:themeColor="text1"/>
                  <w:sz w:val="24"/>
                  <w:szCs w:val="24"/>
                </w:rPr>
              </m:ctrlPr>
            </m:sSupPr>
            <m:e>
              <m:r>
                <w:rPr>
                  <w:rFonts w:ascii="Cambria Math" w:hAnsi="Cambria Math" w:cs="Arial"/>
                  <w:color w:val="000000" w:themeColor="text1"/>
                  <w:sz w:val="24"/>
                  <w:szCs w:val="24"/>
                </w:rPr>
                <m:t>n</m:t>
              </m:r>
            </m:e>
            <m:sup>
              <m:r>
                <m:rPr>
                  <m:sty m:val="p"/>
                </m:rPr>
                <w:rPr>
                  <w:rFonts w:ascii="Cambria Math" w:hAnsi="Cambria Math" w:cs="Arial"/>
                  <w:color w:val="000000" w:themeColor="text1"/>
                  <w:sz w:val="24"/>
                  <w:szCs w:val="24"/>
                </w:rPr>
                <m:t>1/3</m:t>
              </m:r>
            </m:sup>
          </m:sSup>
        </m:oMath>
      </m:oMathPara>
    </w:p>
    <w:p w14:paraId="0F244904" w14:textId="77777777" w:rsidR="0021742E" w:rsidRPr="006300D5" w:rsidRDefault="00000000" w:rsidP="006300D5">
      <w:pPr>
        <w:spacing w:after="160" w:line="240" w:lineRule="auto"/>
        <w:rPr>
          <w:rFonts w:ascii="Arial" w:hAnsi="Arial" w:cs="Arial"/>
          <w:color w:val="000000" w:themeColor="text1"/>
          <w:sz w:val="24"/>
          <w:szCs w:val="24"/>
        </w:rPr>
      </w:pPr>
      <w:r w:rsidRPr="006300D5">
        <w:rPr>
          <w:rFonts w:ascii="Arial" w:hAnsi="Arial" w:cs="Arial"/>
          <w:color w:val="000000" w:themeColor="text1"/>
          <w:sz w:val="24"/>
          <w:szCs w:val="24"/>
        </w:rPr>
        <w:t>with r</w:t>
      </w:r>
      <w:r w:rsidRPr="006300D5">
        <w:rPr>
          <w:rFonts w:ascii="Cambria Math" w:hAnsi="Cambria Math" w:cs="Cambria Math"/>
          <w:color w:val="000000" w:themeColor="text1"/>
          <w:sz w:val="24"/>
          <w:szCs w:val="24"/>
        </w:rPr>
        <w:t>₀</w:t>
      </w:r>
      <w:r w:rsidRPr="006300D5">
        <w:rPr>
          <w:rFonts w:ascii="Arial" w:hAnsi="Arial" w:cs="Arial"/>
          <w:color w:val="000000" w:themeColor="text1"/>
          <w:sz w:val="24"/>
          <w:szCs w:val="24"/>
        </w:rPr>
        <w:t xml:space="preserve"> = 0.05 μm (50 nm), representing the interaction range of the CRY2Olig photobody. The n¹″³ scaling assumes clusters are approximately spherical. Upon merging, the position of the surviving cluster is set to the mass-weighted center of the two original clusters, and the absorbed cluster is removed. Merging candidates are sorted by distance (closest first) to ensure deterministic behavior when multiple merging events are possible in a single time step.</w:t>
      </w:r>
    </w:p>
    <w:p w14:paraId="7E11DC1E" w14:textId="77777777" w:rsidR="0021742E" w:rsidRPr="006300D5" w:rsidRDefault="00000000" w:rsidP="006300D5">
      <w:pPr>
        <w:pStyle w:val="Heading2"/>
        <w:spacing w:before="0" w:line="240" w:lineRule="auto"/>
        <w:rPr>
          <w:rFonts w:ascii="Arial" w:hAnsi="Arial" w:cs="Arial"/>
          <w:color w:val="000000" w:themeColor="text1"/>
          <w:sz w:val="24"/>
          <w:szCs w:val="24"/>
        </w:rPr>
      </w:pPr>
      <w:r w:rsidRPr="006300D5">
        <w:rPr>
          <w:rFonts w:ascii="Arial" w:hAnsi="Arial" w:cs="Arial"/>
          <w:color w:val="000000" w:themeColor="text1"/>
          <w:sz w:val="24"/>
          <w:szCs w:val="24"/>
        </w:rPr>
        <w:t>Mean Squared Displacement Analysis</w:t>
      </w:r>
    </w:p>
    <w:p w14:paraId="0E36578C"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color w:val="000000" w:themeColor="text1"/>
          <w:sz w:val="24"/>
          <w:szCs w:val="24"/>
        </w:rPr>
        <w:t>To extract the anomalous diffusion exponent α, we performed short tracking simulations that mimic the experimental MSD protocol. At selected analysis timepoints (1 hour and 4 hours), the current cluster configuration was extracted and subjected to 180 seconds of diffusion-only dynamics (no merging) recorded at 5-second intervals, matching the experimental imaging cadence. Three independent tracking replicates were performed per timepoint to improve statistics. For the ER condition, corral boundaries were preserved during tracking to capture the confining effect on the MSD. For the cytoplasmic condition, domain boundaries were removed (unwrapped coordinates) to prevent finite-box artifacts from introducing spurious subdiffusion.</w:t>
      </w:r>
    </w:p>
    <w:p w14:paraId="55C957DF"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color w:val="000000" w:themeColor="text1"/>
          <w:sz w:val="24"/>
          <w:szCs w:val="24"/>
        </w:rPr>
        <w:t>The time-averaged MSD was computed for each cluster track:</w:t>
      </w:r>
    </w:p>
    <w:p w14:paraId="283CE0D4" w14:textId="77777777" w:rsidR="0021742E" w:rsidRPr="006300D5" w:rsidRDefault="00000000" w:rsidP="006300D5">
      <w:pPr>
        <w:spacing w:line="240" w:lineRule="auto"/>
        <w:jc w:val="center"/>
        <w:rPr>
          <w:rFonts w:ascii="Arial" w:hAnsi="Arial" w:cs="Arial"/>
          <w:color w:val="000000" w:themeColor="text1"/>
          <w:sz w:val="24"/>
          <w:szCs w:val="24"/>
        </w:rPr>
      </w:pPr>
      <m:oMathPara>
        <m:oMath>
          <m:r>
            <m:rPr>
              <m:sty m:val="p"/>
            </m:rPr>
            <w:rPr>
              <w:rFonts w:ascii="Cambria Math" w:hAnsi="Cambria Math" w:cs="Arial"/>
              <w:color w:val="000000" w:themeColor="text1"/>
              <w:sz w:val="24"/>
              <w:szCs w:val="24"/>
            </w:rPr>
            <w:lastRenderedPageBreak/>
            <m:t>MSD</m:t>
          </m:r>
          <m:d>
            <m:dPr>
              <m:ctrlPr>
                <w:rPr>
                  <w:rFonts w:ascii="Cambria Math" w:hAnsi="Cambria Math" w:cs="Arial"/>
                  <w:color w:val="000000" w:themeColor="text1"/>
                  <w:sz w:val="24"/>
                  <w:szCs w:val="24"/>
                </w:rPr>
              </m:ctrlPr>
            </m:dPr>
            <m:e>
              <m:r>
                <w:rPr>
                  <w:rFonts w:ascii="Cambria Math" w:hAnsi="Cambria Math" w:cs="Arial"/>
                  <w:color w:val="000000" w:themeColor="text1"/>
                  <w:sz w:val="24"/>
                  <w:szCs w:val="24"/>
                </w:rPr>
                <m:t>τ</m:t>
              </m:r>
            </m:e>
          </m:d>
          <m:r>
            <m:rPr>
              <m:sty m:val="p"/>
            </m:rPr>
            <w:rPr>
              <w:rFonts w:ascii="Cambria Math" w:hAnsi="Cambria Math" w:cs="Arial"/>
              <w:color w:val="000000" w:themeColor="text1"/>
              <w:sz w:val="24"/>
              <w:szCs w:val="24"/>
            </w:rPr>
            <m:t xml:space="preserve"> = </m:t>
          </m:r>
          <m:d>
            <m:dPr>
              <m:begChr m:val="⟨"/>
              <m:endChr m:val="⟩"/>
              <m:ctrlPr>
                <w:rPr>
                  <w:rFonts w:ascii="Cambria Math" w:hAnsi="Cambria Math" w:cs="Arial"/>
                  <w:color w:val="000000" w:themeColor="text1"/>
                  <w:sz w:val="24"/>
                  <w:szCs w:val="24"/>
                </w:rPr>
              </m:ctrlPr>
            </m:dPr>
            <m:e>
              <m:sSup>
                <m:sSupPr>
                  <m:ctrlPr>
                    <w:rPr>
                      <w:rFonts w:ascii="Cambria Math" w:hAnsi="Cambria Math" w:cs="Arial"/>
                      <w:color w:val="000000" w:themeColor="text1"/>
                      <w:sz w:val="24"/>
                      <w:szCs w:val="24"/>
                    </w:rPr>
                  </m:ctrlPr>
                </m:sSupPr>
                <m:e>
                  <m:d>
                    <m:dPr>
                      <m:ctrlPr>
                        <w:rPr>
                          <w:rFonts w:ascii="Cambria Math" w:hAnsi="Cambria Math" w:cs="Arial"/>
                          <w:color w:val="000000" w:themeColor="text1"/>
                          <w:sz w:val="24"/>
                          <w:szCs w:val="24"/>
                        </w:rPr>
                      </m:ctrlPr>
                    </m:dPr>
                    <m:e>
                      <m:r>
                        <w:rPr>
                          <w:rFonts w:ascii="Cambria Math" w:hAnsi="Cambria Math" w:cs="Arial"/>
                          <w:color w:val="000000" w:themeColor="text1"/>
                          <w:sz w:val="24"/>
                          <w:szCs w:val="24"/>
                        </w:rPr>
                        <m:t>r</m:t>
                      </m:r>
                      <m:d>
                        <m:dPr>
                          <m:ctrlPr>
                            <w:rPr>
                              <w:rFonts w:ascii="Cambria Math" w:hAnsi="Cambria Math" w:cs="Arial"/>
                              <w:color w:val="000000" w:themeColor="text1"/>
                              <w:sz w:val="24"/>
                              <w:szCs w:val="24"/>
                            </w:rPr>
                          </m:ctrlPr>
                        </m:dPr>
                        <m:e>
                          <m:r>
                            <w:rPr>
                              <w:rFonts w:ascii="Cambria Math" w:hAnsi="Cambria Math" w:cs="Arial"/>
                              <w:color w:val="000000" w:themeColor="text1"/>
                              <w:sz w:val="24"/>
                              <w:szCs w:val="24"/>
                            </w:rPr>
                            <m:t>t</m:t>
                          </m:r>
                          <m:r>
                            <m:rPr>
                              <m:sty m:val="p"/>
                            </m:rPr>
                            <w:rPr>
                              <w:rFonts w:ascii="Cambria Math" w:hAnsi="Cambria Math" w:cs="Arial"/>
                              <w:color w:val="000000" w:themeColor="text1"/>
                              <w:sz w:val="24"/>
                              <w:szCs w:val="24"/>
                            </w:rPr>
                            <m:t xml:space="preserve"> + </m:t>
                          </m:r>
                          <m:r>
                            <w:rPr>
                              <w:rFonts w:ascii="Cambria Math" w:hAnsi="Cambria Math" w:cs="Arial"/>
                              <w:color w:val="000000" w:themeColor="text1"/>
                              <w:sz w:val="24"/>
                              <w:szCs w:val="24"/>
                            </w:rPr>
                            <m:t>τ</m:t>
                          </m:r>
                        </m:e>
                      </m:d>
                      <m:r>
                        <m:rPr>
                          <m:sty m:val="p"/>
                        </m:rPr>
                        <w:rPr>
                          <w:rFonts w:ascii="Cambria Math" w:hAnsi="Cambria Math" w:cs="Arial"/>
                          <w:color w:val="000000" w:themeColor="text1"/>
                          <w:sz w:val="24"/>
                          <w:szCs w:val="24"/>
                        </w:rPr>
                        <m:t xml:space="preserve"> - </m:t>
                      </m:r>
                      <m:r>
                        <w:rPr>
                          <w:rFonts w:ascii="Cambria Math" w:hAnsi="Cambria Math" w:cs="Arial"/>
                          <w:color w:val="000000" w:themeColor="text1"/>
                          <w:sz w:val="24"/>
                          <w:szCs w:val="24"/>
                        </w:rPr>
                        <m:t>r</m:t>
                      </m:r>
                      <m:d>
                        <m:dPr>
                          <m:ctrlPr>
                            <w:rPr>
                              <w:rFonts w:ascii="Cambria Math" w:hAnsi="Cambria Math" w:cs="Arial"/>
                              <w:color w:val="000000" w:themeColor="text1"/>
                              <w:sz w:val="24"/>
                              <w:szCs w:val="24"/>
                            </w:rPr>
                          </m:ctrlPr>
                        </m:dPr>
                        <m:e>
                          <m:r>
                            <w:rPr>
                              <w:rFonts w:ascii="Cambria Math" w:hAnsi="Cambria Math" w:cs="Arial"/>
                              <w:color w:val="000000" w:themeColor="text1"/>
                              <w:sz w:val="24"/>
                              <w:szCs w:val="24"/>
                            </w:rPr>
                            <m:t>t</m:t>
                          </m:r>
                        </m:e>
                      </m:d>
                    </m:e>
                  </m:d>
                </m:e>
                <m:sup>
                  <m:r>
                    <m:rPr>
                      <m:sty m:val="p"/>
                    </m:rPr>
                    <w:rPr>
                      <w:rFonts w:ascii="Cambria Math" w:hAnsi="Cambria Math" w:cs="Arial"/>
                      <w:color w:val="000000" w:themeColor="text1"/>
                      <w:sz w:val="24"/>
                      <w:szCs w:val="24"/>
                    </w:rPr>
                    <m:t>2</m:t>
                  </m:r>
                </m:sup>
              </m:sSup>
            </m:e>
          </m:d>
        </m:oMath>
      </m:oMathPara>
    </w:p>
    <w:p w14:paraId="4289DE30"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color w:val="000000" w:themeColor="text1"/>
          <w:sz w:val="24"/>
          <w:szCs w:val="24"/>
        </w:rPr>
        <w:t>The anomalous diffusion exponent α was then obtained by fitting the power-law relationship:</w:t>
      </w:r>
    </w:p>
    <w:p w14:paraId="3E1DA19E" w14:textId="77777777" w:rsidR="0021742E" w:rsidRPr="006300D5" w:rsidRDefault="00000000" w:rsidP="006300D5">
      <w:pPr>
        <w:spacing w:line="240" w:lineRule="auto"/>
        <w:jc w:val="center"/>
        <w:rPr>
          <w:rFonts w:ascii="Arial" w:hAnsi="Arial" w:cs="Arial"/>
          <w:color w:val="000000" w:themeColor="text1"/>
          <w:sz w:val="24"/>
          <w:szCs w:val="24"/>
        </w:rPr>
      </w:pPr>
      <m:oMathPara>
        <m:oMath>
          <m:r>
            <m:rPr>
              <m:sty m:val="p"/>
            </m:rPr>
            <w:rPr>
              <w:rFonts w:ascii="Cambria Math" w:hAnsi="Cambria Math" w:cs="Arial"/>
              <w:color w:val="000000" w:themeColor="text1"/>
              <w:sz w:val="24"/>
              <w:szCs w:val="24"/>
            </w:rPr>
            <m:t>MSD</m:t>
          </m:r>
          <m:d>
            <m:dPr>
              <m:ctrlPr>
                <w:rPr>
                  <w:rFonts w:ascii="Cambria Math" w:hAnsi="Cambria Math" w:cs="Arial"/>
                  <w:color w:val="000000" w:themeColor="text1"/>
                  <w:sz w:val="24"/>
                  <w:szCs w:val="24"/>
                </w:rPr>
              </m:ctrlPr>
            </m:dPr>
            <m:e>
              <m:r>
                <w:rPr>
                  <w:rFonts w:ascii="Cambria Math" w:hAnsi="Cambria Math" w:cs="Arial"/>
                  <w:color w:val="000000" w:themeColor="text1"/>
                  <w:sz w:val="24"/>
                  <w:szCs w:val="24"/>
                </w:rPr>
                <m:t>τ</m:t>
              </m:r>
            </m:e>
          </m:d>
          <m:r>
            <m:rPr>
              <m:sty m:val="p"/>
            </m:rPr>
            <w:rPr>
              <w:rFonts w:ascii="Cambria Math" w:hAnsi="Cambria Math" w:cs="Arial"/>
              <w:color w:val="000000" w:themeColor="text1"/>
              <w:sz w:val="24"/>
              <w:szCs w:val="24"/>
            </w:rPr>
            <m:t xml:space="preserve"> = </m:t>
          </m:r>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D</m:t>
              </m:r>
            </m:e>
            <m:sub>
              <m:r>
                <w:rPr>
                  <w:rFonts w:ascii="Cambria Math" w:hAnsi="Cambria Math" w:cs="Arial"/>
                  <w:color w:val="000000" w:themeColor="text1"/>
                  <w:sz w:val="24"/>
                  <w:szCs w:val="24"/>
                </w:rPr>
                <m:t>α</m:t>
              </m:r>
            </m:sub>
          </m:sSub>
          <m:r>
            <m:rPr>
              <m:sty m:val="p"/>
            </m:rPr>
            <w:rPr>
              <w:rFonts w:ascii="Cambria Math" w:hAnsi="Cambria Math" w:cs="Arial"/>
              <w:color w:val="000000" w:themeColor="text1"/>
              <w:sz w:val="24"/>
              <w:szCs w:val="24"/>
            </w:rPr>
            <m:t xml:space="preserve"> · </m:t>
          </m:r>
          <m:sSup>
            <m:sSupPr>
              <m:ctrlPr>
                <w:rPr>
                  <w:rFonts w:ascii="Cambria Math" w:hAnsi="Cambria Math" w:cs="Arial"/>
                  <w:color w:val="000000" w:themeColor="text1"/>
                  <w:sz w:val="24"/>
                  <w:szCs w:val="24"/>
                </w:rPr>
              </m:ctrlPr>
            </m:sSupPr>
            <m:e>
              <m:r>
                <w:rPr>
                  <w:rFonts w:ascii="Cambria Math" w:hAnsi="Cambria Math" w:cs="Arial"/>
                  <w:color w:val="000000" w:themeColor="text1"/>
                  <w:sz w:val="24"/>
                  <w:szCs w:val="24"/>
                </w:rPr>
                <m:t>τ</m:t>
              </m:r>
            </m:e>
            <m:sup>
              <m:r>
                <w:rPr>
                  <w:rFonts w:ascii="Cambria Math" w:hAnsi="Cambria Math" w:cs="Arial"/>
                  <w:color w:val="000000" w:themeColor="text1"/>
                  <w:sz w:val="24"/>
                  <w:szCs w:val="24"/>
                </w:rPr>
                <m:t>α</m:t>
              </m:r>
            </m:sup>
          </m:sSup>
        </m:oMath>
      </m:oMathPara>
    </w:p>
    <w:p w14:paraId="11CDFD7F" w14:textId="77777777" w:rsidR="0021742E" w:rsidRPr="006300D5" w:rsidRDefault="00000000" w:rsidP="006300D5">
      <w:pPr>
        <w:spacing w:after="160" w:line="240" w:lineRule="auto"/>
        <w:rPr>
          <w:rFonts w:ascii="Arial" w:hAnsi="Arial" w:cs="Arial"/>
          <w:color w:val="000000" w:themeColor="text1"/>
          <w:sz w:val="24"/>
          <w:szCs w:val="24"/>
        </w:rPr>
      </w:pPr>
      <w:r w:rsidRPr="006300D5">
        <w:rPr>
          <w:rFonts w:ascii="Arial" w:hAnsi="Arial" w:cs="Arial"/>
          <w:color w:val="000000" w:themeColor="text1"/>
          <w:sz w:val="24"/>
          <w:szCs w:val="24"/>
        </w:rPr>
        <w:t>using ordinary least-squares regression on log</w:t>
      </w:r>
      <w:r w:rsidRPr="006300D5">
        <w:rPr>
          <w:rFonts w:ascii="Cambria Math" w:hAnsi="Cambria Math" w:cs="Cambria Math"/>
          <w:color w:val="000000" w:themeColor="text1"/>
          <w:sz w:val="24"/>
          <w:szCs w:val="24"/>
        </w:rPr>
        <w:t>₁₀</w:t>
      </w:r>
      <w:r w:rsidRPr="006300D5">
        <w:rPr>
          <w:rFonts w:ascii="Arial" w:hAnsi="Arial" w:cs="Arial"/>
          <w:color w:val="000000" w:themeColor="text1"/>
          <w:sz w:val="24"/>
          <w:szCs w:val="24"/>
        </w:rPr>
        <w:t>(MSD) versus log</w:t>
      </w:r>
      <w:r w:rsidRPr="006300D5">
        <w:rPr>
          <w:rFonts w:ascii="Cambria Math" w:hAnsi="Cambria Math" w:cs="Cambria Math"/>
          <w:color w:val="000000" w:themeColor="text1"/>
          <w:sz w:val="24"/>
          <w:szCs w:val="24"/>
        </w:rPr>
        <w:t>₁₀</w:t>
      </w:r>
      <w:r w:rsidRPr="006300D5">
        <w:rPr>
          <w:rFonts w:ascii="Arial" w:hAnsi="Arial" w:cs="Arial"/>
          <w:color w:val="000000" w:themeColor="text1"/>
          <w:sz w:val="24"/>
          <w:szCs w:val="24"/>
        </w:rPr>
        <w:t>(τ). Lags up to half the trajectory length were included. Values of α &lt; 1 indicate subdiffusive (confined) motion, α = 1 indicates normal Brownian diffusion, and α &gt; 1 would indicate superdiffusion. Fitted α values were clipped to the range [0, 2] to exclude non-physical outliers arising from very short or noisy tracks.</w:t>
      </w:r>
    </w:p>
    <w:p w14:paraId="2682B579" w14:textId="77777777" w:rsidR="0021742E" w:rsidRPr="006300D5" w:rsidRDefault="00000000" w:rsidP="006300D5">
      <w:pPr>
        <w:pStyle w:val="Heading2"/>
        <w:spacing w:before="0" w:line="240" w:lineRule="auto"/>
        <w:rPr>
          <w:rFonts w:ascii="Arial" w:hAnsi="Arial" w:cs="Arial"/>
          <w:color w:val="000000" w:themeColor="text1"/>
          <w:sz w:val="24"/>
          <w:szCs w:val="24"/>
        </w:rPr>
      </w:pPr>
      <w:r w:rsidRPr="006300D5">
        <w:rPr>
          <w:rFonts w:ascii="Arial" w:hAnsi="Arial" w:cs="Arial"/>
          <w:color w:val="000000" w:themeColor="text1"/>
          <w:sz w:val="24"/>
          <w:szCs w:val="24"/>
        </w:rPr>
        <w:t>Simulation Parameters</w:t>
      </w:r>
    </w:p>
    <w:p w14:paraId="7F78AF9B" w14:textId="77777777" w:rsidR="0021742E" w:rsidRPr="006300D5" w:rsidRDefault="00000000" w:rsidP="006300D5">
      <w:pPr>
        <w:spacing w:after="80" w:line="240" w:lineRule="auto"/>
        <w:rPr>
          <w:rFonts w:ascii="Arial" w:hAnsi="Arial" w:cs="Arial"/>
          <w:color w:val="000000" w:themeColor="text1"/>
          <w:sz w:val="24"/>
          <w:szCs w:val="24"/>
        </w:rPr>
      </w:pPr>
      <w:r w:rsidRPr="006300D5">
        <w:rPr>
          <w:rFonts w:ascii="Arial" w:hAnsi="Arial" w:cs="Arial"/>
          <w:color w:val="000000" w:themeColor="text1"/>
          <w:sz w:val="24"/>
          <w:szCs w:val="24"/>
        </w:rPr>
        <w:t>All simulation parameters are summarized in the table below.</w:t>
      </w:r>
    </w:p>
    <w:tbl>
      <w:tblPr>
        <w:tblStyle w:val="TableGrid"/>
        <w:tblW w:w="0" w:type="auto"/>
        <w:tblLook w:val="04A0" w:firstRow="1" w:lastRow="0" w:firstColumn="1" w:lastColumn="0" w:noHBand="0" w:noVBand="1"/>
      </w:tblPr>
      <w:tblGrid>
        <w:gridCol w:w="2160"/>
        <w:gridCol w:w="2160"/>
        <w:gridCol w:w="2160"/>
        <w:gridCol w:w="2160"/>
      </w:tblGrid>
      <w:tr w:rsidR="0021742E" w:rsidRPr="006300D5" w14:paraId="63228E54" w14:textId="77777777">
        <w:tc>
          <w:tcPr>
            <w:tcW w:w="2160" w:type="dxa"/>
          </w:tcPr>
          <w:p w14:paraId="53F5C68B" w14:textId="77777777" w:rsidR="0021742E" w:rsidRPr="006300D5" w:rsidRDefault="00000000" w:rsidP="006300D5">
            <w:pPr>
              <w:rPr>
                <w:rFonts w:ascii="Arial" w:hAnsi="Arial" w:cs="Arial"/>
                <w:color w:val="000000" w:themeColor="text1"/>
                <w:sz w:val="24"/>
                <w:szCs w:val="24"/>
              </w:rPr>
            </w:pPr>
            <w:r w:rsidRPr="006300D5">
              <w:rPr>
                <w:rFonts w:ascii="Arial" w:hAnsi="Arial" w:cs="Arial"/>
                <w:b/>
                <w:color w:val="000000" w:themeColor="text1"/>
                <w:sz w:val="24"/>
                <w:szCs w:val="24"/>
              </w:rPr>
              <w:t>Parameter</w:t>
            </w:r>
          </w:p>
        </w:tc>
        <w:tc>
          <w:tcPr>
            <w:tcW w:w="2160" w:type="dxa"/>
          </w:tcPr>
          <w:p w14:paraId="16CE984B" w14:textId="77777777" w:rsidR="0021742E" w:rsidRPr="006300D5" w:rsidRDefault="00000000" w:rsidP="006300D5">
            <w:pPr>
              <w:rPr>
                <w:rFonts w:ascii="Arial" w:hAnsi="Arial" w:cs="Arial"/>
                <w:color w:val="000000" w:themeColor="text1"/>
                <w:sz w:val="24"/>
                <w:szCs w:val="24"/>
              </w:rPr>
            </w:pPr>
            <w:r w:rsidRPr="006300D5">
              <w:rPr>
                <w:rFonts w:ascii="Arial" w:hAnsi="Arial" w:cs="Arial"/>
                <w:b/>
                <w:color w:val="000000" w:themeColor="text1"/>
                <w:sz w:val="24"/>
                <w:szCs w:val="24"/>
              </w:rPr>
              <w:t>Symbol</w:t>
            </w:r>
          </w:p>
        </w:tc>
        <w:tc>
          <w:tcPr>
            <w:tcW w:w="2160" w:type="dxa"/>
          </w:tcPr>
          <w:p w14:paraId="0EB527E7" w14:textId="77777777" w:rsidR="0021742E" w:rsidRPr="006300D5" w:rsidRDefault="00000000" w:rsidP="006300D5">
            <w:pPr>
              <w:rPr>
                <w:rFonts w:ascii="Arial" w:hAnsi="Arial" w:cs="Arial"/>
                <w:color w:val="000000" w:themeColor="text1"/>
                <w:sz w:val="24"/>
                <w:szCs w:val="24"/>
              </w:rPr>
            </w:pPr>
            <w:r w:rsidRPr="006300D5">
              <w:rPr>
                <w:rFonts w:ascii="Arial" w:hAnsi="Arial" w:cs="Arial"/>
                <w:b/>
                <w:color w:val="000000" w:themeColor="text1"/>
                <w:sz w:val="24"/>
                <w:szCs w:val="24"/>
              </w:rPr>
              <w:t>ER-tethered</w:t>
            </w:r>
          </w:p>
        </w:tc>
        <w:tc>
          <w:tcPr>
            <w:tcW w:w="2160" w:type="dxa"/>
          </w:tcPr>
          <w:p w14:paraId="56C8744D" w14:textId="77777777" w:rsidR="0021742E" w:rsidRPr="006300D5" w:rsidRDefault="00000000" w:rsidP="006300D5">
            <w:pPr>
              <w:rPr>
                <w:rFonts w:ascii="Arial" w:hAnsi="Arial" w:cs="Arial"/>
                <w:color w:val="000000" w:themeColor="text1"/>
                <w:sz w:val="24"/>
                <w:szCs w:val="24"/>
              </w:rPr>
            </w:pPr>
            <w:r w:rsidRPr="006300D5">
              <w:rPr>
                <w:rFonts w:ascii="Arial" w:hAnsi="Arial" w:cs="Arial"/>
                <w:b/>
                <w:color w:val="000000" w:themeColor="text1"/>
                <w:sz w:val="24"/>
                <w:szCs w:val="24"/>
              </w:rPr>
              <w:t>Cytoplasmic</w:t>
            </w:r>
          </w:p>
        </w:tc>
      </w:tr>
      <w:tr w:rsidR="0021742E" w:rsidRPr="006300D5" w14:paraId="3A312D6E" w14:textId="77777777">
        <w:tc>
          <w:tcPr>
            <w:tcW w:w="2160" w:type="dxa"/>
          </w:tcPr>
          <w:p w14:paraId="3FBB1CFC"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Number of monomers</w:t>
            </w:r>
          </w:p>
        </w:tc>
        <w:tc>
          <w:tcPr>
            <w:tcW w:w="2160" w:type="dxa"/>
          </w:tcPr>
          <w:p w14:paraId="0853BBAE"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N</w:t>
            </w:r>
          </w:p>
        </w:tc>
        <w:tc>
          <w:tcPr>
            <w:tcW w:w="2160" w:type="dxa"/>
          </w:tcPr>
          <w:p w14:paraId="0F53A44E"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200</w:t>
            </w:r>
          </w:p>
        </w:tc>
        <w:tc>
          <w:tcPr>
            <w:tcW w:w="2160" w:type="dxa"/>
          </w:tcPr>
          <w:p w14:paraId="16D3109E"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200</w:t>
            </w:r>
          </w:p>
        </w:tc>
      </w:tr>
      <w:tr w:rsidR="0021742E" w:rsidRPr="006300D5" w14:paraId="72AAAEAE" w14:textId="77777777">
        <w:tc>
          <w:tcPr>
            <w:tcW w:w="2160" w:type="dxa"/>
          </w:tcPr>
          <w:p w14:paraId="0BA89900"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Domain (x × y)</w:t>
            </w:r>
          </w:p>
        </w:tc>
        <w:tc>
          <w:tcPr>
            <w:tcW w:w="2160" w:type="dxa"/>
          </w:tcPr>
          <w:p w14:paraId="5E0245C7"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Lₓ × Lᵧ</w:t>
            </w:r>
          </w:p>
        </w:tc>
        <w:tc>
          <w:tcPr>
            <w:tcW w:w="2160" w:type="dxa"/>
          </w:tcPr>
          <w:p w14:paraId="183BC6A7"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12 × 12 μm²</w:t>
            </w:r>
          </w:p>
        </w:tc>
        <w:tc>
          <w:tcPr>
            <w:tcW w:w="2160" w:type="dxa"/>
          </w:tcPr>
          <w:p w14:paraId="4840A299"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12 × 12 μm²</w:t>
            </w:r>
          </w:p>
        </w:tc>
      </w:tr>
      <w:tr w:rsidR="0021742E" w:rsidRPr="006300D5" w14:paraId="094748A3" w14:textId="77777777">
        <w:tc>
          <w:tcPr>
            <w:tcW w:w="2160" w:type="dxa"/>
          </w:tcPr>
          <w:p w14:paraId="18FC4705"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Domain height</w:t>
            </w:r>
          </w:p>
        </w:tc>
        <w:tc>
          <w:tcPr>
            <w:tcW w:w="2160" w:type="dxa"/>
          </w:tcPr>
          <w:p w14:paraId="213D3D65"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Lᵢ</w:t>
            </w:r>
          </w:p>
        </w:tc>
        <w:tc>
          <w:tcPr>
            <w:tcW w:w="2160" w:type="dxa"/>
          </w:tcPr>
          <w:p w14:paraId="45691678"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n/a (z = 0)</w:t>
            </w:r>
          </w:p>
        </w:tc>
        <w:tc>
          <w:tcPr>
            <w:tcW w:w="2160" w:type="dxa"/>
          </w:tcPr>
          <w:p w14:paraId="6B8FDE12"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8 μm</w:t>
            </w:r>
          </w:p>
        </w:tc>
      </w:tr>
      <w:tr w:rsidR="0021742E" w:rsidRPr="006300D5" w14:paraId="1AD67405" w14:textId="77777777">
        <w:tc>
          <w:tcPr>
            <w:tcW w:w="2160" w:type="dxa"/>
          </w:tcPr>
          <w:p w14:paraId="0EBA3E81"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Monomer diffusion coeff.</w:t>
            </w:r>
          </w:p>
        </w:tc>
        <w:tc>
          <w:tcPr>
            <w:tcW w:w="2160" w:type="dxa"/>
          </w:tcPr>
          <w:p w14:paraId="19FC9190"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D</w:t>
            </w:r>
            <w:r w:rsidRPr="006300D5">
              <w:rPr>
                <w:rFonts w:ascii="Cambria Math" w:hAnsi="Cambria Math" w:cs="Cambria Math"/>
                <w:color w:val="000000" w:themeColor="text1"/>
                <w:sz w:val="24"/>
                <w:szCs w:val="24"/>
              </w:rPr>
              <w:t>₀</w:t>
            </w:r>
          </w:p>
        </w:tc>
        <w:tc>
          <w:tcPr>
            <w:tcW w:w="2160" w:type="dxa"/>
          </w:tcPr>
          <w:p w14:paraId="09690BB8"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0.005 μm²/s</w:t>
            </w:r>
          </w:p>
        </w:tc>
        <w:tc>
          <w:tcPr>
            <w:tcW w:w="2160" w:type="dxa"/>
          </w:tcPr>
          <w:p w14:paraId="1DF3537C"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0.15 μm²/s</w:t>
            </w:r>
          </w:p>
        </w:tc>
      </w:tr>
      <w:tr w:rsidR="0021742E" w:rsidRPr="006300D5" w14:paraId="7AD34A71" w14:textId="77777777">
        <w:tc>
          <w:tcPr>
            <w:tcW w:w="2160" w:type="dxa"/>
          </w:tcPr>
          <w:p w14:paraId="302DB198"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Time step</w:t>
            </w:r>
          </w:p>
        </w:tc>
        <w:tc>
          <w:tcPr>
            <w:tcW w:w="2160" w:type="dxa"/>
          </w:tcPr>
          <w:p w14:paraId="6402DC86"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Δt</w:t>
            </w:r>
          </w:p>
        </w:tc>
        <w:tc>
          <w:tcPr>
            <w:tcW w:w="2160" w:type="dxa"/>
          </w:tcPr>
          <w:p w14:paraId="5CD2E562"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1 s</w:t>
            </w:r>
          </w:p>
        </w:tc>
        <w:tc>
          <w:tcPr>
            <w:tcW w:w="2160" w:type="dxa"/>
          </w:tcPr>
          <w:p w14:paraId="21B6BF3D"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1 s</w:t>
            </w:r>
          </w:p>
        </w:tc>
      </w:tr>
      <w:tr w:rsidR="0021742E" w:rsidRPr="006300D5" w14:paraId="1F586772" w14:textId="77777777">
        <w:tc>
          <w:tcPr>
            <w:tcW w:w="2160" w:type="dxa"/>
          </w:tcPr>
          <w:p w14:paraId="16DBD59A"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Total simulation time</w:t>
            </w:r>
          </w:p>
        </w:tc>
        <w:tc>
          <w:tcPr>
            <w:tcW w:w="2160" w:type="dxa"/>
          </w:tcPr>
          <w:p w14:paraId="0A9E34DD"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T</w:t>
            </w:r>
          </w:p>
        </w:tc>
        <w:tc>
          <w:tcPr>
            <w:tcW w:w="2160" w:type="dxa"/>
          </w:tcPr>
          <w:p w14:paraId="725EB36F"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36,000 s (10 h)</w:t>
            </w:r>
          </w:p>
        </w:tc>
        <w:tc>
          <w:tcPr>
            <w:tcW w:w="2160" w:type="dxa"/>
          </w:tcPr>
          <w:p w14:paraId="3616AF86"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36,000 s (10 h)</w:t>
            </w:r>
          </w:p>
        </w:tc>
      </w:tr>
      <w:tr w:rsidR="0021742E" w:rsidRPr="006300D5" w14:paraId="43CC95B1" w14:textId="77777777">
        <w:tc>
          <w:tcPr>
            <w:tcW w:w="2160" w:type="dxa"/>
          </w:tcPr>
          <w:p w14:paraId="1D8549FF"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Base merge radius</w:t>
            </w:r>
          </w:p>
        </w:tc>
        <w:tc>
          <w:tcPr>
            <w:tcW w:w="2160" w:type="dxa"/>
          </w:tcPr>
          <w:p w14:paraId="1D747D5A"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r</w:t>
            </w:r>
            <w:r w:rsidRPr="006300D5">
              <w:rPr>
                <w:rFonts w:ascii="Cambria Math" w:hAnsi="Cambria Math" w:cs="Cambria Math"/>
                <w:color w:val="000000" w:themeColor="text1"/>
                <w:sz w:val="24"/>
                <w:szCs w:val="24"/>
              </w:rPr>
              <w:t>₀</w:t>
            </w:r>
          </w:p>
        </w:tc>
        <w:tc>
          <w:tcPr>
            <w:tcW w:w="2160" w:type="dxa"/>
          </w:tcPr>
          <w:p w14:paraId="18F9A4A3"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0.05 μm</w:t>
            </w:r>
          </w:p>
        </w:tc>
        <w:tc>
          <w:tcPr>
            <w:tcW w:w="2160" w:type="dxa"/>
          </w:tcPr>
          <w:p w14:paraId="3C2DCADF"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0.05 μm</w:t>
            </w:r>
          </w:p>
        </w:tc>
      </w:tr>
      <w:tr w:rsidR="0021742E" w:rsidRPr="006300D5" w14:paraId="6B0CAB3F" w14:textId="77777777">
        <w:tc>
          <w:tcPr>
            <w:tcW w:w="2160" w:type="dxa"/>
          </w:tcPr>
          <w:p w14:paraId="1A97887C"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Corral side length</w:t>
            </w:r>
          </w:p>
        </w:tc>
        <w:tc>
          <w:tcPr>
            <w:tcW w:w="2160" w:type="dxa"/>
          </w:tcPr>
          <w:p w14:paraId="425BC714"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Lᶜ</w:t>
            </w:r>
          </w:p>
        </w:tc>
        <w:tc>
          <w:tcPr>
            <w:tcW w:w="2160" w:type="dxa"/>
          </w:tcPr>
          <w:p w14:paraId="55F10F6C"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1.2 μm</w:t>
            </w:r>
          </w:p>
        </w:tc>
        <w:tc>
          <w:tcPr>
            <w:tcW w:w="2160" w:type="dxa"/>
          </w:tcPr>
          <w:p w14:paraId="1BE9952D"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n/a</w:t>
            </w:r>
          </w:p>
        </w:tc>
      </w:tr>
      <w:tr w:rsidR="0021742E" w:rsidRPr="006300D5" w14:paraId="447609D8" w14:textId="77777777">
        <w:tc>
          <w:tcPr>
            <w:tcW w:w="2160" w:type="dxa"/>
          </w:tcPr>
          <w:p w14:paraId="6012902A"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Hopping probability</w:t>
            </w:r>
          </w:p>
        </w:tc>
        <w:tc>
          <w:tcPr>
            <w:tcW w:w="2160" w:type="dxa"/>
          </w:tcPr>
          <w:p w14:paraId="433173E6"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p</w:t>
            </w:r>
            <w:r w:rsidRPr="006300D5">
              <w:rPr>
                <w:rFonts w:ascii="Segoe UI Symbol" w:hAnsi="Segoe UI Symbol" w:cs="Segoe UI Symbol"/>
                <w:color w:val="000000" w:themeColor="text1"/>
                <w:sz w:val="24"/>
                <w:szCs w:val="24"/>
              </w:rPr>
              <w:t>ₕ</w:t>
            </w:r>
            <w:r w:rsidRPr="006300D5">
              <w:rPr>
                <w:rFonts w:ascii="Arial" w:hAnsi="Arial" w:cs="Arial"/>
                <w:color w:val="000000" w:themeColor="text1"/>
                <w:sz w:val="24"/>
                <w:szCs w:val="24"/>
              </w:rPr>
              <w:t>ₒ</w:t>
            </w:r>
            <w:r w:rsidRPr="006300D5">
              <w:rPr>
                <w:rFonts w:ascii="Segoe UI Symbol" w:hAnsi="Segoe UI Symbol" w:cs="Segoe UI Symbol"/>
                <w:color w:val="000000" w:themeColor="text1"/>
                <w:sz w:val="24"/>
                <w:szCs w:val="24"/>
              </w:rPr>
              <w:t>ₗ</w:t>
            </w:r>
          </w:p>
        </w:tc>
        <w:tc>
          <w:tcPr>
            <w:tcW w:w="2160" w:type="dxa"/>
          </w:tcPr>
          <w:p w14:paraId="5B3813D2"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3 × 10</w:t>
            </w:r>
            <w:r w:rsidRPr="006300D5">
              <w:rPr>
                <w:rFonts w:ascii="Cambria Math" w:hAnsi="Cambria Math" w:cs="Cambria Math"/>
                <w:color w:val="000000" w:themeColor="text1"/>
                <w:sz w:val="24"/>
                <w:szCs w:val="24"/>
              </w:rPr>
              <w:t>⁻</w:t>
            </w:r>
            <w:r w:rsidRPr="006300D5">
              <w:rPr>
                <w:rFonts w:ascii="Arial" w:hAnsi="Arial" w:cs="Arial"/>
                <w:color w:val="000000" w:themeColor="text1"/>
                <w:sz w:val="24"/>
                <w:szCs w:val="24"/>
              </w:rPr>
              <w:t>⁴</w:t>
            </w:r>
          </w:p>
        </w:tc>
        <w:tc>
          <w:tcPr>
            <w:tcW w:w="2160" w:type="dxa"/>
          </w:tcPr>
          <w:p w14:paraId="115D5441"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n/a</w:t>
            </w:r>
          </w:p>
        </w:tc>
      </w:tr>
      <w:tr w:rsidR="0021742E" w:rsidRPr="006300D5" w14:paraId="21D52462" w14:textId="77777777">
        <w:tc>
          <w:tcPr>
            <w:tcW w:w="2160" w:type="dxa"/>
          </w:tcPr>
          <w:p w14:paraId="7F648133"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Snapshot interval</w:t>
            </w:r>
          </w:p>
        </w:tc>
        <w:tc>
          <w:tcPr>
            <w:tcW w:w="2160" w:type="dxa"/>
          </w:tcPr>
          <w:p w14:paraId="4DBD8AA5" w14:textId="77777777" w:rsidR="0021742E" w:rsidRPr="006300D5" w:rsidRDefault="0021742E" w:rsidP="006300D5">
            <w:pPr>
              <w:rPr>
                <w:rFonts w:ascii="Arial" w:hAnsi="Arial" w:cs="Arial"/>
                <w:color w:val="000000" w:themeColor="text1"/>
                <w:sz w:val="24"/>
                <w:szCs w:val="24"/>
              </w:rPr>
            </w:pPr>
          </w:p>
        </w:tc>
        <w:tc>
          <w:tcPr>
            <w:tcW w:w="2160" w:type="dxa"/>
          </w:tcPr>
          <w:p w14:paraId="7B7CC536"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120 s (2 min)</w:t>
            </w:r>
          </w:p>
        </w:tc>
        <w:tc>
          <w:tcPr>
            <w:tcW w:w="2160" w:type="dxa"/>
          </w:tcPr>
          <w:p w14:paraId="7CA6B0AF"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120 s (2 min)</w:t>
            </w:r>
          </w:p>
        </w:tc>
      </w:tr>
      <w:tr w:rsidR="0021742E" w:rsidRPr="006300D5" w14:paraId="5081CC57" w14:textId="77777777">
        <w:tc>
          <w:tcPr>
            <w:tcW w:w="2160" w:type="dxa"/>
          </w:tcPr>
          <w:p w14:paraId="08E1925B"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MSD tracking duration</w:t>
            </w:r>
          </w:p>
        </w:tc>
        <w:tc>
          <w:tcPr>
            <w:tcW w:w="2160" w:type="dxa"/>
          </w:tcPr>
          <w:p w14:paraId="50B85CDD" w14:textId="77777777" w:rsidR="0021742E" w:rsidRPr="006300D5" w:rsidRDefault="0021742E" w:rsidP="006300D5">
            <w:pPr>
              <w:rPr>
                <w:rFonts w:ascii="Arial" w:hAnsi="Arial" w:cs="Arial"/>
                <w:color w:val="000000" w:themeColor="text1"/>
                <w:sz w:val="24"/>
                <w:szCs w:val="24"/>
              </w:rPr>
            </w:pPr>
          </w:p>
        </w:tc>
        <w:tc>
          <w:tcPr>
            <w:tcW w:w="2160" w:type="dxa"/>
          </w:tcPr>
          <w:p w14:paraId="4BCF5FC7"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180 s (3 min)</w:t>
            </w:r>
          </w:p>
        </w:tc>
        <w:tc>
          <w:tcPr>
            <w:tcW w:w="2160" w:type="dxa"/>
          </w:tcPr>
          <w:p w14:paraId="6D9A38CC" w14:textId="77777777" w:rsidR="0021742E" w:rsidRPr="006300D5" w:rsidRDefault="00000000" w:rsidP="006300D5">
            <w:pPr>
              <w:rPr>
                <w:rFonts w:ascii="Arial" w:hAnsi="Arial" w:cs="Arial"/>
                <w:color w:val="000000" w:themeColor="text1"/>
                <w:sz w:val="24"/>
                <w:szCs w:val="24"/>
              </w:rPr>
            </w:pPr>
            <w:r w:rsidRPr="006300D5">
              <w:rPr>
                <w:rFonts w:ascii="Arial" w:hAnsi="Arial" w:cs="Arial"/>
                <w:color w:val="000000" w:themeColor="text1"/>
                <w:sz w:val="24"/>
                <w:szCs w:val="24"/>
              </w:rPr>
              <w:t>180 s (3 min)</w:t>
            </w:r>
          </w:p>
        </w:tc>
      </w:tr>
    </w:tbl>
    <w:p w14:paraId="1E89048B" w14:textId="77777777" w:rsidR="0021742E" w:rsidRPr="006300D5" w:rsidRDefault="0021742E" w:rsidP="006300D5">
      <w:pPr>
        <w:spacing w:line="240" w:lineRule="auto"/>
        <w:rPr>
          <w:rFonts w:ascii="Arial" w:hAnsi="Arial" w:cs="Arial"/>
          <w:color w:val="000000" w:themeColor="text1"/>
          <w:sz w:val="24"/>
          <w:szCs w:val="24"/>
        </w:rPr>
      </w:pPr>
    </w:p>
    <w:p w14:paraId="0980014C" w14:textId="77777777" w:rsidR="0021742E" w:rsidRPr="006300D5" w:rsidRDefault="00000000" w:rsidP="006300D5">
      <w:pPr>
        <w:pStyle w:val="Heading2"/>
        <w:spacing w:before="0" w:line="240" w:lineRule="auto"/>
        <w:rPr>
          <w:rFonts w:ascii="Arial" w:hAnsi="Arial" w:cs="Arial"/>
          <w:color w:val="000000" w:themeColor="text1"/>
          <w:sz w:val="24"/>
          <w:szCs w:val="24"/>
        </w:rPr>
      </w:pPr>
      <w:r w:rsidRPr="006300D5">
        <w:rPr>
          <w:rFonts w:ascii="Arial" w:hAnsi="Arial" w:cs="Arial"/>
          <w:color w:val="000000" w:themeColor="text1"/>
          <w:sz w:val="24"/>
          <w:szCs w:val="24"/>
        </w:rPr>
        <w:t>Software and Reproducibility</w:t>
      </w:r>
    </w:p>
    <w:p w14:paraId="0EBE67F3" w14:textId="77777777" w:rsidR="0021742E" w:rsidRPr="006300D5" w:rsidRDefault="00000000" w:rsidP="006300D5">
      <w:pPr>
        <w:spacing w:after="160" w:line="240" w:lineRule="auto"/>
        <w:rPr>
          <w:rFonts w:ascii="Arial" w:hAnsi="Arial" w:cs="Arial"/>
          <w:color w:val="000000" w:themeColor="text1"/>
          <w:sz w:val="24"/>
          <w:szCs w:val="24"/>
        </w:rPr>
      </w:pPr>
      <w:r w:rsidRPr="006300D5">
        <w:rPr>
          <w:rFonts w:ascii="Arial" w:hAnsi="Arial" w:cs="Arial"/>
          <w:color w:val="000000" w:themeColor="text1"/>
          <w:sz w:val="24"/>
          <w:szCs w:val="24"/>
        </w:rPr>
        <w:t>The simulation was implemented in Python 3 using NumPy for vectorized Brownian dynamics, SciPy (</w:t>
      </w:r>
      <w:proofErr w:type="gramStart"/>
      <w:r w:rsidRPr="006300D5">
        <w:rPr>
          <w:rFonts w:ascii="Arial" w:hAnsi="Arial" w:cs="Arial"/>
          <w:color w:val="000000" w:themeColor="text1"/>
          <w:sz w:val="24"/>
          <w:szCs w:val="24"/>
        </w:rPr>
        <w:t>scipy.spatial</w:t>
      </w:r>
      <w:proofErr w:type="gramEnd"/>
      <w:r w:rsidRPr="006300D5">
        <w:rPr>
          <w:rFonts w:ascii="Arial" w:hAnsi="Arial" w:cs="Arial"/>
          <w:color w:val="000000" w:themeColor="text1"/>
          <w:sz w:val="24"/>
          <w:szCs w:val="24"/>
        </w:rPr>
        <w:t>.</w:t>
      </w:r>
      <w:proofErr w:type="gramStart"/>
      <w:r w:rsidRPr="006300D5">
        <w:rPr>
          <w:rFonts w:ascii="Arial" w:hAnsi="Arial" w:cs="Arial"/>
          <w:color w:val="000000" w:themeColor="text1"/>
          <w:sz w:val="24"/>
          <w:szCs w:val="24"/>
        </w:rPr>
        <w:t>distance.cdist</w:t>
      </w:r>
      <w:proofErr w:type="gramEnd"/>
      <w:r w:rsidRPr="006300D5">
        <w:rPr>
          <w:rFonts w:ascii="Arial" w:hAnsi="Arial" w:cs="Arial"/>
          <w:color w:val="000000" w:themeColor="text1"/>
          <w:sz w:val="24"/>
          <w:szCs w:val="24"/>
        </w:rPr>
        <w:t xml:space="preserve">) for pairwise distance computation during the merging step, and Matplotlib for figure generation and video rendering (via FFMpeg). All simulations used a fixed random seed (seed = 42) for reproducibility. The MSD tracking simulations used separate seeds (100–400 series) for each replicate. A single simulation (200 particles, </w:t>
      </w:r>
      <w:proofErr w:type="gramStart"/>
      <w:r w:rsidRPr="006300D5">
        <w:rPr>
          <w:rFonts w:ascii="Arial" w:hAnsi="Arial" w:cs="Arial"/>
          <w:color w:val="000000" w:themeColor="text1"/>
          <w:sz w:val="24"/>
          <w:szCs w:val="24"/>
        </w:rPr>
        <w:t>36,000 time</w:t>
      </w:r>
      <w:proofErr w:type="gramEnd"/>
      <w:r w:rsidRPr="006300D5">
        <w:rPr>
          <w:rFonts w:ascii="Arial" w:hAnsi="Arial" w:cs="Arial"/>
          <w:color w:val="000000" w:themeColor="text1"/>
          <w:sz w:val="24"/>
          <w:szCs w:val="24"/>
        </w:rPr>
        <w:t xml:space="preserve"> steps) completes in </w:t>
      </w:r>
      <w:r w:rsidRPr="006300D5">
        <w:rPr>
          <w:rFonts w:ascii="Cambria Math" w:hAnsi="Cambria Math" w:cs="Cambria Math"/>
          <w:color w:val="000000" w:themeColor="text1"/>
          <w:sz w:val="24"/>
          <w:szCs w:val="24"/>
        </w:rPr>
        <w:t>∼</w:t>
      </w:r>
      <w:r w:rsidRPr="006300D5">
        <w:rPr>
          <w:rFonts w:ascii="Arial" w:hAnsi="Arial" w:cs="Arial"/>
          <w:color w:val="000000" w:themeColor="text1"/>
          <w:sz w:val="24"/>
          <w:szCs w:val="24"/>
        </w:rPr>
        <w:t>5 seconds on a standard laptop. The complete simulation script (ire1_figure1_simulation.py) is available in the supplementary materials.</w:t>
      </w:r>
    </w:p>
    <w:p w14:paraId="39A6969E" w14:textId="77777777" w:rsidR="0021742E" w:rsidRPr="006300D5" w:rsidRDefault="00000000" w:rsidP="006300D5">
      <w:pPr>
        <w:pStyle w:val="Heading2"/>
        <w:spacing w:before="0" w:line="240" w:lineRule="auto"/>
        <w:rPr>
          <w:rFonts w:ascii="Arial" w:hAnsi="Arial" w:cs="Arial"/>
          <w:color w:val="000000" w:themeColor="text1"/>
          <w:sz w:val="24"/>
          <w:szCs w:val="24"/>
        </w:rPr>
      </w:pPr>
      <w:r w:rsidRPr="006300D5">
        <w:rPr>
          <w:rFonts w:ascii="Arial" w:hAnsi="Arial" w:cs="Arial"/>
          <w:color w:val="000000" w:themeColor="text1"/>
          <w:sz w:val="24"/>
          <w:szCs w:val="24"/>
        </w:rPr>
        <w:lastRenderedPageBreak/>
        <w:t>Visualization</w:t>
      </w:r>
    </w:p>
    <w:p w14:paraId="46ECEDDC" w14:textId="77777777" w:rsidR="0021742E" w:rsidRPr="006300D5" w:rsidRDefault="00000000" w:rsidP="006300D5">
      <w:pPr>
        <w:spacing w:after="160" w:line="240" w:lineRule="auto"/>
        <w:rPr>
          <w:rFonts w:ascii="Arial" w:hAnsi="Arial" w:cs="Arial"/>
          <w:color w:val="000000" w:themeColor="text1"/>
          <w:sz w:val="24"/>
          <w:szCs w:val="24"/>
        </w:rPr>
      </w:pPr>
      <w:r w:rsidRPr="006300D5">
        <w:rPr>
          <w:rFonts w:ascii="Arial" w:hAnsi="Arial" w:cs="Arial"/>
          <w:color w:val="000000" w:themeColor="text1"/>
          <w:sz w:val="24"/>
          <w:szCs w:val="24"/>
        </w:rPr>
        <w:t>The main figure comprises eight panels: (A–D) top-down and side-view snapshots of cluster distributions at 1 and 10 hours for both conditions; (E) log–log MSD curves at the 4-hour timepoint; (F) boxplots of the anomalous diffusion exponent α stratified by condition (ER vs. cytoplasmic) and cluster size (&lt; 5 vs. ≥ 5 molecules); (G) cluster count over time; and (H) largest cluster size over time. The supplementary video shows the full 10-hour simulation as a side-by-side animation with 3D perspective views and x–z side projections, rendered at 24 frames per second with a slowly rotating camera angle. Cluster marker sizes scale with the cube root of molecule count.</w:t>
      </w:r>
    </w:p>
    <w:sectPr w:rsidR="0021742E" w:rsidRPr="006300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247915">
    <w:abstractNumId w:val="8"/>
  </w:num>
  <w:num w:numId="2" w16cid:durableId="1974630987">
    <w:abstractNumId w:val="6"/>
  </w:num>
  <w:num w:numId="3" w16cid:durableId="1175388363">
    <w:abstractNumId w:val="5"/>
  </w:num>
  <w:num w:numId="4" w16cid:durableId="1622688273">
    <w:abstractNumId w:val="4"/>
  </w:num>
  <w:num w:numId="5" w16cid:durableId="1965041098">
    <w:abstractNumId w:val="7"/>
  </w:num>
  <w:num w:numId="6" w16cid:durableId="495263294">
    <w:abstractNumId w:val="3"/>
  </w:num>
  <w:num w:numId="7" w16cid:durableId="86971697">
    <w:abstractNumId w:val="2"/>
  </w:num>
  <w:num w:numId="8" w16cid:durableId="520166051">
    <w:abstractNumId w:val="1"/>
  </w:num>
  <w:num w:numId="9" w16cid:durableId="140961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42E"/>
    <w:rsid w:val="0029639D"/>
    <w:rsid w:val="00326F90"/>
    <w:rsid w:val="006300D5"/>
    <w:rsid w:val="008312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AA55F"/>
  <w14:defaultImageDpi w14:val="300"/>
  <w15:docId w15:val="{390E2212-1F87-C74F-8C9D-DC7CA51F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1117</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2026-02-15T18:46:00Z</dcterms:modified>
  <cp:category/>
</cp:coreProperties>
</file>