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sz w:val="36"/>
          <w:szCs w:val="36"/>
        </w:rPr>
        <w:t xml:space="preserve">VIT</w:t>
      </w:r>
    </w:p>
    <w:p>
      <w:pPr>
        <w:spacing w:after="300"/>
        <w:jc w:val="center"/>
      </w:pPr>
      <w:r>
        <w:rPr>
          <w:rFonts w:ascii="Times New Roman" w:cs="Times New Roman" w:eastAsia="Times New Roman" w:hAnsi="Times New Roman"/>
          <w:b/>
          <w:bCs/>
          <w:sz w:val="32"/>
          <w:szCs w:val="32"/>
        </w:rPr>
        <w:t xml:space="preserve">VELLORE INSTITUTE OF TECHNOLOGY</w:t>
      </w:r>
    </w:p>
    <w:p>
      <w:pPr>
        <w:spacing w:after="100"/>
        <w:jc w:val="center"/>
      </w:pPr>
      <w:r>
        <w:rPr>
          <w:rFonts w:ascii="Times New Roman" w:cs="Times New Roman" w:eastAsia="Times New Roman" w:hAnsi="Times New Roman"/>
          <w:sz w:val="24"/>
          <w:szCs w:val="24"/>
        </w:rPr>
        <w:t xml:space="preserve">School of Electronics Engineering (SENSE)</w:t>
      </w:r>
    </w:p>
    <w:p>
      <w:pPr>
        <w:spacing w:after="60"/>
        <w:jc w:val="center"/>
      </w:pPr>
      <w:r>
        <w:rPr>
          <w:rFonts w:ascii="Times New Roman" w:cs="Times New Roman" w:eastAsia="Times New Roman" w:hAnsi="Times New Roman"/>
          <w:b/>
          <w:bCs/>
          <w:sz w:val="24"/>
          <w:szCs w:val="24"/>
        </w:rPr>
        <w:t xml:space="preserve">Bachelor of Technology</w:t>
      </w:r>
    </w:p>
    <w:p>
      <w:pPr>
        <w:spacing w:after="400"/>
        <w:jc w:val="center"/>
      </w:pPr>
      <w:r>
        <w:rPr>
          <w:rFonts w:ascii="Times New Roman" w:cs="Times New Roman" w:eastAsia="Times New Roman" w:hAnsi="Times New Roman"/>
          <w:sz w:val="24"/>
          <w:szCs w:val="24"/>
        </w:rPr>
        <w:t xml:space="preserve">Electronics and Computer Engineering</w:t>
      </w:r>
    </w:p>
    <w:p>
      <w:pPr>
        <w:pBdr>
          <w:bottom w:val="single" w:color="000000" w:sz="6" w:space="4"/>
        </w:pBdr>
        <w:spacing w:after="100"/>
        <w:jc w:val="center"/>
      </w:pPr>
      <w:r>
        <w:rPr>
          <w:rFonts w:ascii="Times New Roman" w:cs="Times New Roman" w:eastAsia="Times New Roman" w:hAnsi="Times New Roman"/>
        </w:rPr>
        <w:t xml:space="preserve"/>
      </w:r>
    </w:p>
    <w:p>
      <w:pPr>
        <w:spacing w:after="60" w:before="200"/>
        <w:jc w:val="center"/>
      </w:pPr>
      <w:r>
        <w:rPr>
          <w:rFonts w:ascii="Times New Roman" w:cs="Times New Roman" w:eastAsia="Times New Roman" w:hAnsi="Times New Roman"/>
          <w:b/>
          <w:bCs/>
          <w:sz w:val="26"/>
          <w:szCs w:val="26"/>
        </w:rPr>
        <w:t xml:space="preserve">Clinically-Aware Layer-Specific Quantization: Preserving</w:t>
      </w:r>
    </w:p>
    <w:p>
      <w:pPr>
        <w:spacing w:after="200"/>
        <w:jc w:val="center"/>
      </w:pPr>
      <w:r>
        <w:rPr>
          <w:rFonts w:ascii="Times New Roman" w:cs="Times New Roman" w:eastAsia="Times New Roman" w:hAnsi="Times New Roman"/>
          <w:b/>
          <w:bCs/>
          <w:sz w:val="26"/>
          <w:szCs w:val="26"/>
        </w:rPr>
        <w:t xml:space="preserve">Critical-Error Performance under Compression for Edge-Deployed Medical LLMs</w:t>
      </w:r>
    </w:p>
    <w:p>
      <w:pPr>
        <w:pBdr>
          <w:bottom w:val="single" w:color="000000" w:sz="6" w:space="4"/>
        </w:pBdr>
        <w:spacing w:after="400"/>
        <w:jc w:val="center"/>
      </w:pPr>
      <w:r>
        <w:rPr>
          <w:rFonts w:ascii="Times New Roman" w:cs="Times New Roman" w:eastAsia="Times New Roman" w:hAnsi="Times New Roman"/>
        </w:rPr>
        <w:t xml:space="preserve"/>
      </w:r>
    </w:p>
    <w:p>
      <w:pPr>
        <w:spacing w:after="60"/>
        <w:jc w:val="center"/>
      </w:pPr>
      <w:r>
        <w:rPr>
          <w:rFonts w:ascii="Times New Roman" w:cs="Times New Roman" w:eastAsia="Times New Roman" w:hAnsi="Times New Roman"/>
          <w:sz w:val="22"/>
          <w:szCs w:val="22"/>
        </w:rPr>
        <w:t xml:space="preserve">A Project Report for</w:t>
      </w:r>
    </w:p>
    <w:p>
      <w:pPr>
        <w:spacing w:after="400"/>
        <w:jc w:val="center"/>
      </w:pPr>
      <w:r>
        <w:rPr>
          <w:rFonts w:ascii="Times New Roman" w:cs="Times New Roman" w:eastAsia="Times New Roman" w:hAnsi="Times New Roman"/>
          <w:b/>
          <w:bCs/>
          <w:sz w:val="24"/>
          <w:szCs w:val="24"/>
        </w:rPr>
        <w:t xml:space="preserve">Challenging Assignment 2 (DA 2)</w:t>
      </w:r>
    </w:p>
    <w:p>
      <w:pPr>
        <w:spacing w:after="60"/>
        <w:jc w:val="center"/>
      </w:pPr>
      <w:r>
        <w:rPr>
          <w:rFonts w:ascii="Times New Roman" w:cs="Times New Roman" w:eastAsia="Times New Roman" w:hAnsi="Times New Roman"/>
          <w:b/>
          <w:bCs/>
          <w:sz w:val="22"/>
          <w:szCs w:val="22"/>
        </w:rPr>
        <w:t xml:space="preserve">Course Name: </w:t>
      </w:r>
      <w:r>
        <w:rPr>
          <w:rFonts w:ascii="Times New Roman" w:cs="Times New Roman" w:eastAsia="Times New Roman" w:hAnsi="Times New Roman"/>
          <w:sz w:val="22"/>
          <w:szCs w:val="22"/>
        </w:rPr>
        <w:t xml:space="preserve">Artificial Intelligence and Machine Learning</w:t>
      </w:r>
    </w:p>
    <w:p>
      <w:pPr>
        <w:spacing w:after="60"/>
        <w:jc w:val="center"/>
      </w:pPr>
      <w:r>
        <w:rPr>
          <w:rFonts w:ascii="Times New Roman" w:cs="Times New Roman" w:eastAsia="Times New Roman" w:hAnsi="Times New Roman"/>
          <w:b/>
          <w:bCs/>
          <w:sz w:val="22"/>
          <w:szCs w:val="22"/>
        </w:rPr>
        <w:t xml:space="preserve">Course Code: </w:t>
      </w:r>
      <w:r>
        <w:rPr>
          <w:rFonts w:ascii="Times New Roman" w:cs="Times New Roman" w:eastAsia="Times New Roman" w:hAnsi="Times New Roman"/>
          <w:sz w:val="22"/>
          <w:szCs w:val="22"/>
        </w:rPr>
        <w:t xml:space="preserve">BECE309L</w:t>
      </w:r>
    </w:p>
    <w:p>
      <w:pPr>
        <w:spacing w:after="60"/>
        <w:jc w:val="center"/>
      </w:pPr>
      <w:r>
        <w:rPr>
          <w:rFonts w:ascii="Times New Roman" w:cs="Times New Roman" w:eastAsia="Times New Roman" w:hAnsi="Times New Roman"/>
          <w:b/>
          <w:bCs/>
          <w:sz w:val="22"/>
          <w:szCs w:val="22"/>
        </w:rPr>
        <w:t xml:space="preserve">Slot: </w:t>
      </w:r>
      <w:r>
        <w:rPr>
          <w:rFonts w:ascii="Times New Roman" w:cs="Times New Roman" w:eastAsia="Times New Roman" w:hAnsi="Times New Roman"/>
          <w:sz w:val="22"/>
          <w:szCs w:val="22"/>
        </w:rPr>
        <w:t xml:space="preserve">G1+TG1</w:t>
      </w:r>
    </w:p>
    <w:p>
      <w:pPr>
        <w:spacing w:after="60"/>
        <w:jc w:val="center"/>
      </w:pPr>
      <w:r>
        <w:rPr>
          <w:rFonts w:ascii="Times New Roman" w:cs="Times New Roman" w:eastAsia="Times New Roman" w:hAnsi="Times New Roman"/>
          <w:b/>
          <w:bCs/>
          <w:sz w:val="22"/>
          <w:szCs w:val="22"/>
        </w:rPr>
        <w:t xml:space="preserve">Class Number: </w:t>
      </w:r>
      <w:r>
        <w:rPr>
          <w:rFonts w:ascii="Times New Roman" w:cs="Times New Roman" w:eastAsia="Times New Roman" w:hAnsi="Times New Roman"/>
          <w:sz w:val="22"/>
          <w:szCs w:val="22"/>
        </w:rPr>
        <w:t xml:space="preserve">CH2026270102365</w:t>
      </w:r>
    </w:p>
    <w:p>
      <w:pPr>
        <w:spacing w:after="60"/>
        <w:jc w:val="center"/>
      </w:pPr>
      <w:r>
        <w:rPr>
          <w:rFonts w:ascii="Times New Roman" w:cs="Times New Roman" w:eastAsia="Times New Roman" w:hAnsi="Times New Roman"/>
          <w:b/>
          <w:bCs/>
          <w:sz w:val="22"/>
          <w:szCs w:val="22"/>
        </w:rPr>
        <w:t xml:space="preserve">Group Number: </w:t>
      </w:r>
      <w:r>
        <w:rPr>
          <w:rFonts w:ascii="Times New Roman" w:cs="Times New Roman" w:eastAsia="Times New Roman" w:hAnsi="Times New Roman"/>
          <w:sz w:val="22"/>
          <w:szCs w:val="22"/>
        </w:rPr>
        <w:t xml:space="preserve">28</w:t>
      </w:r>
    </w:p>
    <w:p>
      <w:pPr>
        <w:spacing w:after="100" w:before="300"/>
        <w:jc w:val="center"/>
      </w:pPr>
      <w:r>
        <w:rPr>
          <w:rFonts w:ascii="Times New Roman" w:cs="Times New Roman" w:eastAsia="Times New Roman" w:hAnsi="Times New Roman"/>
          <w:b/>
          <w:bCs/>
          <w:sz w:val="24"/>
          <w:szCs w:val="24"/>
        </w:rPr>
        <w:t xml:space="preserve">Submitted by</w:t>
      </w:r>
    </w:p>
    <w:p>
      <w:pPr>
        <w:spacing w:after="40"/>
        <w:jc w:val="center"/>
      </w:pPr>
      <w:r>
        <w:rPr>
          <w:rFonts w:ascii="Times New Roman" w:cs="Times New Roman" w:eastAsia="Times New Roman" w:hAnsi="Times New Roman"/>
          <w:sz w:val="22"/>
          <w:szCs w:val="22"/>
        </w:rPr>
        <w:t xml:space="preserve">24BLC1392   Gouse Moideen S</w:t>
      </w:r>
    </w:p>
    <w:p>
      <w:pPr>
        <w:spacing w:after="40"/>
        <w:jc w:val="center"/>
      </w:pPr>
      <w:r>
        <w:rPr>
          <w:rFonts w:ascii="Times New Roman" w:cs="Times New Roman" w:eastAsia="Times New Roman" w:hAnsi="Times New Roman"/>
          <w:sz w:val="22"/>
          <w:szCs w:val="22"/>
        </w:rPr>
        <w:t xml:space="preserve">24BLC1087   Sandeep Samuel</w:t>
      </w:r>
    </w:p>
    <w:p>
      <w:pPr>
        <w:spacing w:after="300"/>
        <w:jc w:val="center"/>
      </w:pPr>
      <w:r>
        <w:rPr>
          <w:rFonts w:ascii="Times New Roman" w:cs="Times New Roman" w:eastAsia="Times New Roman" w:hAnsi="Times New Roman"/>
          <w:sz w:val="22"/>
          <w:szCs w:val="22"/>
        </w:rPr>
        <w:t xml:space="preserve">24BLC1040   Gopinath Premkumar</w:t>
      </w:r>
    </w:p>
    <w:p>
      <w:pPr>
        <w:spacing w:after="100"/>
        <w:jc w:val="center"/>
      </w:pPr>
      <w:r>
        <w:rPr>
          <w:rFonts w:ascii="Times New Roman" w:cs="Times New Roman" w:eastAsia="Times New Roman" w:hAnsi="Times New Roman"/>
          <w:b/>
          <w:bCs/>
          <w:sz w:val="24"/>
          <w:szCs w:val="24"/>
        </w:rPr>
        <w:t xml:space="preserve">Submitted To</w:t>
      </w:r>
    </w:p>
    <w:p>
      <w:pPr>
        <w:spacing w:after="400"/>
        <w:jc w:val="center"/>
      </w:pPr>
      <w:r>
        <w:rPr>
          <w:rFonts w:ascii="Times New Roman" w:cs="Times New Roman" w:eastAsia="Times New Roman" w:hAnsi="Times New Roman"/>
          <w:sz w:val="22"/>
          <w:szCs w:val="22"/>
        </w:rPr>
        <w:t xml:space="preserve">Prof. Praveen Jaraut</w:t>
      </w:r>
    </w:p>
    <w:p>
      <w:pPr>
        <w:spacing w:after="40"/>
        <w:jc w:val="center"/>
      </w:pPr>
      <w:r>
        <w:rPr>
          <w:rFonts w:ascii="Times New Roman" w:cs="Times New Roman" w:eastAsia="Times New Roman" w:hAnsi="Times New Roman"/>
          <w:sz w:val="22"/>
          <w:szCs w:val="22"/>
        </w:rPr>
        <w:t xml:space="preserve">September 2026</w:t>
      </w:r>
    </w:p>
    <w:p>
      <w:pPr>
        <w:spacing w:after="40"/>
        <w:jc w:val="center"/>
      </w:pPr>
      <w:r>
        <w:rPr>
          <w:rFonts w:ascii="Times New Roman" w:cs="Times New Roman" w:eastAsia="Times New Roman" w:hAnsi="Times New Roman"/>
          <w:sz w:val="22"/>
          <w:szCs w:val="22"/>
        </w:rPr>
        <w:t xml:space="preserve">2026–2027 Fall Semester</w:t>
      </w:r>
    </w:p>
    <w:p>
      <w:r>
        <w:br w:type="page"/>
      </w:r>
    </w:p>
    <w:p>
      <w:pPr>
        <w:sectPr>
          <w:pgSz w:w="11906" w:h="16838" w:orient="portrait"/>
          <w:pgMar w:top="1440" w:right="1440" w:bottom="1440" w:left="1440" w:header="708" w:footer="708" w:gutter="0"/>
          <w:pgNumType/>
          <w:docGrid w:linePitch="360"/>
        </w:sectPr>
      </w:pPr>
    </w:p>
    <w:p>
      <w:pPr>
        <w:spacing w:after="80"/>
        <w:jc w:val="center"/>
      </w:pPr>
      <w:r>
        <w:rPr>
          <w:rFonts w:ascii="Times New Roman" w:cs="Times New Roman" w:eastAsia="Times New Roman" w:hAnsi="Times New Roman"/>
          <w:b/>
          <w:bCs/>
          <w:sz w:val="26"/>
          <w:szCs w:val="26"/>
        </w:rPr>
        <w:t xml:space="preserve">Clinically-Aware Layer-Specific Quantization: Preserving Critical-Error Performance under Compression for Edge-Deployed Medical LLMs</w:t>
      </w:r>
    </w:p>
    <w:p>
      <w:pPr>
        <w:spacing w:after="40"/>
        <w:jc w:val="center"/>
      </w:pPr>
      <w:r>
        <w:rPr>
          <w:rFonts w:ascii="Times New Roman" w:cs="Times New Roman" w:eastAsia="Times New Roman" w:hAnsi="Times New Roman"/>
          <w:i/>
          <w:iCs/>
          <w:sz w:val="20"/>
          <w:szCs w:val="20"/>
        </w:rPr>
        <w:t xml:space="preserve">Gouse Moideen S (24BLC1392), Sandeep Samuel (24BLC1087), Gopinath Premkumar (24BLC1040)</w:t>
      </w:r>
    </w:p>
    <w:p>
      <w:pPr>
        <w:spacing w:after="40"/>
        <w:jc w:val="center"/>
      </w:pPr>
      <w:r>
        <w:rPr>
          <w:rFonts w:ascii="Times New Roman" w:cs="Times New Roman" w:eastAsia="Times New Roman" w:hAnsi="Times New Roman"/>
          <w:i/>
          <w:iCs/>
          <w:sz w:val="18"/>
          <w:szCs w:val="18"/>
        </w:rPr>
        <w:t xml:space="preserve">School of Electronics Engineering (SENSE), Vellore Institute of Technology</w:t>
      </w:r>
    </w:p>
    <w:p>
      <w:pPr>
        <w:spacing w:after="240"/>
        <w:jc w:val="center"/>
      </w:pPr>
      <w:r>
        <w:rPr>
          <w:rFonts w:ascii="Times New Roman" w:cs="Times New Roman" w:eastAsia="Times New Roman" w:hAnsi="Times New Roman"/>
          <w:i/>
          <w:iCs/>
          <w:sz w:val="18"/>
          <w:szCs w:val="18"/>
        </w:rPr>
        <w:t xml:space="preserve">Group 28 — BECE309L: Artificial Intelligence and Machine Learning — Challenging Assignment 2 (DA2)</w:t>
      </w:r>
    </w:p>
    <w:p>
      <w:pPr>
        <w:spacing w:after="120" w:line="276" w:lineRule="auto"/>
        <w:jc w:val="both"/>
      </w:pPr>
      <w:r/>
      <w:r>
        <w:rPr>
          <w:rFonts w:ascii="Times New Roman" w:hAnsi="Times New Roman"/>
          <w:b/>
          <w:i/>
          <w:sz w:val="20"/>
        </w:rPr>
        <w:t>Abstract—</w:t>
      </w:r>
      <w:r>
        <w:rPr>
          <w:rFonts w:ascii="Times New Roman" w:hAnsi="Times New Roman"/>
          <w:i/>
          <w:sz w:val="20"/>
        </w:rPr>
        <w:t>Deploying large language models (LLMs) for offline clinical decision support at the edge requires aggressive compression, yet naive weight quantization can silently corrupt clinically critical tokens such as drug names, dosage values, laboratory ranges, and negation cues, even when aggregate benchmark scores remain unchanged. Layer-Specific Adaptive Quantization (LSAQ), the base technique for this work, ranks transformer layer importance using unweighted top-k token-set Jaccard similarity — a generic-vocabulary criterion with no notion of medical salience. This project presents Clinically-Weighted Layer Sensitivity Scoring (CW-LSS), a domain-aware compression framework that up-weights drug, dosage, laboratory-value, and negation tokens using an extensive clinical lexicon when computing layer-importance divergence. We implement and evaluate an end-to-end pipeline on Qwen2.5-1.5B-Instruct across 28 transformer decoder layers, integrating QLoRA domain fine-tuning on PubMedQA, per-position vocabulary projection forward hooks, greedy mixed-precision bit allocation targeting 5.0 bits/weight, and a 4-arm benchmark evaluating perplexity and a dedicated Clinical Critical-Error Rate (CCER). At an identical 1223.8 MB footprint (58.4% compression vs. FP16), the proposed CW-LSAQ achieves a 16.3% lower critical-error rate (CCER 0.5862 vs. 0.7000) than standard LSAQ, while matching general perplexity (16.239). Finally, virtual edge execution profiling demonstrates offline feasibility under 4-thread CPU constraints with a peak RAM of 2236 MB and sustained generation throughput of 20.2 tokens/second.</w:t>
      </w:r>
    </w:p>
    <w:p>
      <w:pPr>
        <w:spacing w:after="120" w:line="276" w:lineRule="auto"/>
        <w:jc w:val="both"/>
      </w:pPr>
      <w:r/>
      <w:r>
        <w:rPr>
          <w:rFonts w:ascii="Times New Roman" w:hAnsi="Times New Roman"/>
          <w:b/>
          <w:i/>
          <w:sz w:val="20"/>
        </w:rPr>
        <w:t>Index Terms—</w:t>
      </w:r>
      <w:r>
        <w:rPr>
          <w:rFonts w:ascii="Times New Roman" w:hAnsi="Times New Roman"/>
          <w:i/>
          <w:sz w:val="20"/>
        </w:rPr>
        <w:t>LLM quantization, layer-specific adaptive quantization, medical NLP, edge AI, clinical safety, offline healthcare, model compression.</w:t>
      </w:r>
    </w:p>
    <w:p>
      <w:pPr>
        <w:sectPr>
          <w:pgSz w:w="11906" w:h="16838" w:orient="portrait"/>
          <w:pgMar w:top="1440" w:right="1440" w:bottom="1440" w:left="1440" w:header="708" w:footer="708" w:gutter="0"/>
          <w:pgNumType/>
          <w:docGrid w:linePitch="360"/>
        </w:sectPr>
      </w:pPr>
    </w:p>
    <w:p>
      <w:pPr>
        <w:spacing w:after="120" w:before="240"/>
        <w:jc w:val="center"/>
      </w:pPr>
      <w:r>
        <w:rPr>
          <w:rFonts w:ascii="Times New Roman" w:cs="Times New Roman" w:eastAsia="Times New Roman" w:hAnsi="Times New Roman"/>
          <w:b/>
          <w:bCs/>
          <w:caps/>
          <w:sz w:val="22"/>
          <w:szCs w:val="22"/>
        </w:rPr>
        <w:t xml:space="preserve">I. Problem Identification</w:t>
      </w:r>
    </w:p>
    <w:p>
      <w:pPr>
        <w:spacing w:after="120" w:line="276"/>
        <w:jc w:val="both"/>
      </w:pPr>
      <w:r>
        <w:rPr>
          <w:rFonts w:ascii="Times New Roman" w:cs="Times New Roman" w:eastAsia="Times New Roman" w:hAnsi="Times New Roman"/>
          <w:b w:val="false"/>
          <w:bCs w:val="false"/>
          <w:i w:val="false"/>
          <w:iCs w:val="false"/>
          <w:sz w:val="20"/>
          <w:szCs w:val="20"/>
        </w:rPr>
        <w:t xml:space="preserve">Title: Clinically-Aware Layer-Specific Quantization: Preserving Critical-Error Performance under Compression for Edge-Deployed Medical LLMs.</w:t>
      </w:r>
    </w:p>
    <w:p>
      <w:pPr>
        <w:spacing w:after="120" w:line="276" w:before="0" w:lineRule="auto"/>
        <w:jc w:val="both"/>
      </w:pPr>
      <w:r/>
      <w:r>
        <w:rPr>
          <w:rFonts w:ascii="Times New Roman" w:hAnsi="Times New Roman"/>
          <w:b w:val="0"/>
          <w:i w:val="0"/>
          <w:sz w:val="20"/>
        </w:rPr>
        <w:t>Large language models are increasingly proposed as offline “clinical copilots” for primary-care workers, community health centres, and rural clinics that lack dependable internet connectivity — settings where cloud-hosted models cannot be relied upon and where patient data often cannot leave the device for privacy reasons. Making an LLM small enough to run on resource-constrained hardware (such as single-board edge computers or mobile chipsets) requires aggressive quantization, but quantization is not uniformly safe: layers judged “unimportant” by a generic, frequency-driven importance score may still be responsible for correctly encoding a rare drug name, an exact dosage number, or a negation word that flips the meaning of a sentence. The base technique studied in this project, LSAQ, scores layer importance using the Jaccard similarity of top-k token sets, a method that favours common, high-probability vocabulary and is therefore biased against exactly the rare, high-stakes clinical tokens that must be preserved.</w:t>
      </w:r>
    </w:p>
    <w:p>
      <w:pPr>
        <w:spacing w:after="120" w:line="276" w:before="0" w:lineRule="auto"/>
        <w:jc w:val="both"/>
      </w:pPr>
      <w:r/>
      <w:r>
        <w:rPr>
          <w:rFonts w:ascii="Times New Roman" w:hAnsi="Times New Roman"/>
          <w:b w:val="0"/>
          <w:i w:val="0"/>
          <w:sz w:val="20"/>
        </w:rPr>
        <w:t>This gap matters more in the medical domain than in general-purpose chat or coding assistance, because a single wrong token can change the clinical meaning of an entire response. At the same time, the very reason edge deployment is attractive for healthcare — offline availability, data privacy, and low cost — is also what makes it hardest to correct such errors after the fact. This project identifies and addresses that gap: quantizing a medically fine-tuned LLM in a way that stays aware of medical vocabulary, so that compression for edge deployment does not come at the cost of clinically critical errors. We validate edge feasibility through virtual profiling under strict CPU thread caps and memory constraints that simulate commodity edge processors.</w:t>
      </w:r>
    </w:p>
    <w:p>
      <w:pPr>
        <w:spacing w:after="120" w:before="240"/>
        <w:jc w:val="center"/>
      </w:pPr>
      <w:r>
        <w:rPr>
          <w:rFonts w:ascii="Times New Roman" w:cs="Times New Roman" w:eastAsia="Times New Roman" w:hAnsi="Times New Roman"/>
          <w:b/>
          <w:bCs/>
          <w:caps/>
          <w:sz w:val="22"/>
          <w:szCs w:val="22"/>
        </w:rPr>
        <w:t xml:space="preserve">II. Objectives and Sub-objectives</w:t>
      </w:r>
    </w:p>
    <w:p>
      <w:pPr>
        <w:spacing w:after="120" w:line="276"/>
        <w:jc w:val="both"/>
      </w:pPr>
      <w:r>
        <w:rPr>
          <w:rFonts w:ascii="Times New Roman" w:cs="Times New Roman" w:eastAsia="Times New Roman" w:hAnsi="Times New Roman"/>
          <w:b w:val="false"/>
          <w:bCs w:val="false"/>
          <w:i w:val="false"/>
          <w:iCs w:val="false"/>
          <w:sz w:val="20"/>
          <w:szCs w:val="20"/>
        </w:rPr>
        <w:t xml:space="preserve">Main Objective: To design, implement, and evaluate a clinically-aware, layer-specific quantization pipeline for a medical-domain fine-tuned LLM that minimizes clinically critical errors while achieving compression suitable for offline edge deployment.</w:t>
      </w:r>
    </w:p>
    <w:p>
      <w:pPr>
        <w:spacing w:after="80" w:before="160"/>
      </w:pPr>
      <w:r>
        <w:rPr>
          <w:rFonts w:ascii="Times New Roman" w:cs="Times New Roman" w:eastAsia="Times New Roman" w:hAnsi="Times New Roman"/>
          <w:b/>
          <w:bCs/>
          <w:i/>
          <w:iCs/>
          <w:sz w:val="21"/>
          <w:szCs w:val="21"/>
        </w:rPr>
        <w:t xml:space="preserve">Sub-objectives:</w:t>
      </w:r>
    </w:p>
    <w:p>
      <w:pPr>
        <w:spacing w:after="100" w:line="276" w:before="0" w:lineRule="auto"/>
        <w:ind w:left="260"/>
        <w:jc w:val="both"/>
      </w:pPr>
      <w:r/>
      <w:r>
        <w:rPr>
          <w:rFonts w:ascii="Times New Roman" w:hAnsi="Times New Roman"/>
          <w:b w:val="0"/>
          <w:i w:val="0"/>
          <w:sz w:val="20"/>
        </w:rPr>
        <w:t>• Fine-tune a compact open-weight base LLM (Qwen2.5-1.5B-Instruct, 28 decoder layers, 1.548B parameters) on biomedical text using parameter-efficient fine-tuning (QLoRA 4-bit NF4, rank r=16, alpha=32) on PubMedQA.</w:t>
      </w:r>
    </w:p>
    <w:p>
      <w:pPr>
        <w:spacing w:after="100" w:line="276" w:before="0" w:lineRule="auto"/>
        <w:ind w:left="260"/>
        <w:jc w:val="both"/>
      </w:pPr>
      <w:r/>
      <w:r>
        <w:rPr>
          <w:rFonts w:ascii="Times New Roman" w:hAnsi="Times New Roman"/>
          <w:b w:val="0"/>
          <w:i w:val="0"/>
          <w:sz w:val="20"/>
        </w:rPr>
        <w:t>• Reproduce baseline LSAQ by extracting layer-wise activations, projecting them to vocabulary space via LM-head forward hooks, and scoring layer importance via unweighted top-3 token-set Jaccard similarity across all 28 layers.</w:t>
      </w:r>
    </w:p>
    <w:p>
      <w:pPr>
        <w:spacing w:after="100" w:line="276" w:before="0" w:lineRule="auto"/>
        <w:ind w:left="260"/>
        <w:jc w:val="both"/>
      </w:pPr>
      <w:r/>
      <w:r>
        <w:rPr>
          <w:rFonts w:ascii="Times New Roman" w:hAnsi="Times New Roman"/>
          <w:b w:val="0"/>
          <w:i w:val="0"/>
          <w:sz w:val="20"/>
        </w:rPr>
        <w:t>• Design and implement a Clinically-Weighted Layer Sensitivity Score (CW-LSS) that incorporates a curated clinical lexicon (110+ pharmacological agents, dosage regex, lab tests, negation markers) with clinical weighting multiplier alpha = 5.0.</w:t>
      </w:r>
    </w:p>
    <w:p>
      <w:pPr>
        <w:spacing w:after="100" w:line="276" w:before="0" w:lineRule="auto"/>
        <w:ind w:left="260"/>
        <w:jc w:val="both"/>
      </w:pPr>
      <w:r/>
      <w:r>
        <w:rPr>
          <w:rFonts w:ascii="Times New Roman" w:hAnsi="Times New Roman"/>
          <w:b w:val="0"/>
          <w:i w:val="0"/>
          <w:sz w:val="20"/>
        </w:rPr>
        <w:t>• Implement greedy mixed-precision bit allocation to assign 8-bit and 4-bit precision under a 5.0-bit average budget, isolating layers with high clinical salience.</w:t>
      </w:r>
    </w:p>
    <w:p>
      <w:pPr>
        <w:spacing w:after="100" w:line="276" w:before="0" w:lineRule="auto"/>
        <w:ind w:left="260"/>
        <w:jc w:val="both"/>
      </w:pPr>
      <w:r/>
      <w:r>
        <w:rPr>
          <w:rFonts w:ascii="Times New Roman" w:hAnsi="Times New Roman"/>
          <w:b w:val="0"/>
          <w:i w:val="0"/>
          <w:sz w:val="20"/>
        </w:rPr>
        <w:t>• Benchmark four model variants (Base FP16, Fine-tuned FP16, LSAQ 5.0-bit, CW-LSAQ 5.0-bit) on language modeling perplexity and Clinical Critical-Error Rate (CCER) across clinical diagnostic probes.</w:t>
      </w:r>
    </w:p>
    <w:p>
      <w:pPr>
        <w:spacing w:after="100" w:line="276" w:before="0" w:lineRule="auto"/>
        <w:ind w:left="260"/>
        <w:jc w:val="both"/>
      </w:pPr>
      <w:r/>
      <w:r>
        <w:rPr>
          <w:rFonts w:ascii="Times New Roman" w:hAnsi="Times New Roman"/>
          <w:b w:val="0"/>
          <w:i w:val="0"/>
          <w:sz w:val="20"/>
        </w:rPr>
        <w:t>• Profile edge-deployment efficiency under simulated edge hardware constraints (4 CPU execution threads, peak process RAM, latency, and tokens/second).</w:t>
      </w:r>
    </w:p>
    <w:p>
      <w:pPr>
        <w:spacing w:after="120" w:before="240"/>
        <w:jc w:val="center"/>
      </w:pPr>
      <w:r>
        <w:rPr>
          <w:rFonts w:ascii="Times New Roman" w:cs="Times New Roman" w:eastAsia="Times New Roman" w:hAnsi="Times New Roman"/>
          <w:b/>
          <w:bCs/>
          <w:caps/>
          <w:sz w:val="22"/>
          <w:szCs w:val="22"/>
        </w:rPr>
        <w:t xml:space="preserve">III. Problem Statement</w:t>
      </w:r>
    </w:p>
    <w:p>
      <w:pPr>
        <w:spacing w:after="120" w:line="276"/>
        <w:jc w:val="both"/>
      </w:pPr>
      <w:r>
        <w:rPr>
          <w:rFonts w:ascii="Times New Roman" w:cs="Times New Roman" w:eastAsia="Times New Roman" w:hAnsi="Times New Roman"/>
          <w:b w:val="false"/>
          <w:bCs w:val="false"/>
          <w:i w:val="false"/>
          <w:iCs w:val="false"/>
          <w:sz w:val="20"/>
          <w:szCs w:val="20"/>
        </w:rPr>
        <w:t xml:space="preserve">Post-training quantization methods for LLMs, including LSAQ, are tuned and validated on general-domain perplexity and zero-shot benchmarks, where the cost of losing a rare token is small. In biomedical text, however, correctness routinely hinges on individual low-frequency tokens: a dosage number, a drug name, a lab-value threshold, or a negation word. LSAQ's layer-importance metric is built from the Jaccard similarity of top-k token sets at each layer — by construction this favours layers that most strongly shape frequent, high-probability tokens, and is largely blind to layers disproportionately responsible for rare but clinically decisive tokens.</w:t>
      </w:r>
    </w:p>
    <w:p>
      <w:pPr>
        <w:spacing w:after="120" w:line="276"/>
        <w:jc w:val="both"/>
      </w:pPr>
      <w:r>
        <w:rPr>
          <w:rFonts w:ascii="Times New Roman" w:cs="Times New Roman" w:eastAsia="Times New Roman" w:hAnsi="Times New Roman"/>
          <w:b w:val="false"/>
          <w:bCs w:val="false"/>
          <w:i w:val="false"/>
          <w:iCs w:val="false"/>
          <w:sz w:val="20"/>
          <w:szCs w:val="20"/>
        </w:rPr>
        <w:t xml:space="preserve">As a result, a layer that is “unimportant” under this metric and is therefore assigned very low bit-width may in fact be the layer that determines whether the model outputs “5 mg” or an unrelated number, or whether it correctly preserves a “no” in “no signs of infection.” Aggregate accuracy or perplexity can look unchanged while such rare-but-critical errors increase, because they are diluted across a large evaluation set. This creates a hidden safety risk for edge-deployed medical LLMs, compounded by the mismatch between resource-rich training hardware (RTX 4070 GPU) and resource-poor inference hardware (Raspberry Pi or mobile SoC). The problem is therefore twofold: (i) how to make layer-importance scoring sensitive to medical vocabulary rather than generic token frequency, and (ii) how to verify the resulting compressed model still runs efficiently, offline, and safely on constrained edge hardware.</w:t>
      </w:r>
    </w:p>
    <w:p>
      <w:pPr>
        <w:spacing w:after="120" w:before="240"/>
        <w:jc w:val="center"/>
      </w:pPr>
      <w:r>
        <w:rPr>
          <w:rFonts w:ascii="Times New Roman" w:cs="Times New Roman" w:eastAsia="Times New Roman" w:hAnsi="Times New Roman"/>
          <w:b/>
          <w:bCs/>
          <w:caps/>
          <w:sz w:val="22"/>
          <w:szCs w:val="22"/>
        </w:rPr>
        <w:t xml:space="preserve">IV. Relevant Sustainable Development Goals</w:t>
      </w:r>
    </w:p>
    <w:p>
      <w:pPr>
        <w:spacing w:after="100" w:line="276"/>
        <w:ind w:left="260"/>
        <w:jc w:val="both"/>
      </w:pPr>
      <w:r>
        <w:rPr>
          <w:rFonts w:ascii="Times New Roman" w:cs="Times New Roman" w:eastAsia="Times New Roman" w:hAnsi="Times New Roman"/>
          <w:sz w:val="20"/>
          <w:szCs w:val="20"/>
        </w:rPr>
        <w:t xml:space="preserve">• SDG 3 – Good Health and Well-Being: An offline, on-device clinical assistant extends AI-supported decision-making to primary-care workers and rural clinics with unreliable connectivity, supporting access to safe, quality essential health services.</w:t>
      </w:r>
    </w:p>
    <w:p>
      <w:pPr>
        <w:spacing w:after="100" w:line="276"/>
        <w:ind w:left="260"/>
        <w:jc w:val="both"/>
      </w:pPr>
      <w:r>
        <w:rPr>
          <w:rFonts w:ascii="Times New Roman" w:cs="Times New Roman" w:eastAsia="Times New Roman" w:hAnsi="Times New Roman"/>
          <w:sz w:val="20"/>
          <w:szCs w:val="20"/>
        </w:rPr>
        <w:t xml:space="preserve">• SDG 9 – Industry, Innovation and Infrastructure: The project advances resource-efficient AI infrastructure — compressed models running reliably on low-cost, low-power edge hardware — reducing dependence on continuous cloud connectivity and large-scale data-centre compute.</w:t>
      </w:r>
    </w:p>
    <w:p>
      <w:pPr>
        <w:spacing w:after="100" w:line="276"/>
        <w:ind w:left="260"/>
        <w:jc w:val="both"/>
      </w:pPr>
      <w:r>
        <w:rPr>
          <w:rFonts w:ascii="Times New Roman" w:cs="Times New Roman" w:eastAsia="Times New Roman" w:hAnsi="Times New Roman"/>
          <w:sz w:val="20"/>
          <w:szCs w:val="20"/>
        </w:rPr>
        <w:t xml:space="preserve">• SDG 10 – Reduced Inequalities: Enabling clinically safe LLM inference on inexpensive hardware narrows the gap in AI-assisted healthcare access between well-resourced urban hospitals and low-resource, rural, or low-connectivity settings.</w:t>
      </w:r>
    </w:p>
    <w:p>
      <w:pPr>
        <w:spacing w:after="120" w:before="240"/>
        <w:jc w:val="center"/>
      </w:pPr>
      <w:r>
        <w:rPr>
          <w:rFonts w:ascii="Times New Roman" w:cs="Times New Roman" w:eastAsia="Times New Roman" w:hAnsi="Times New Roman"/>
          <w:b/>
          <w:bCs/>
          <w:caps/>
          <w:sz w:val="22"/>
          <w:szCs w:val="22"/>
        </w:rPr>
        <w:t xml:space="preserve">V. Literature Survey</w:t>
      </w:r>
    </w:p>
    <w:p>
      <w:pPr>
        <w:spacing w:after="120" w:line="276"/>
        <w:jc w:val="both"/>
      </w:pPr>
      <w:r>
        <w:rPr>
          <w:rFonts w:ascii="Times New Roman" w:cs="Times New Roman" w:eastAsia="Times New Roman" w:hAnsi="Times New Roman"/>
          <w:b w:val="false"/>
          <w:bCs w:val="false"/>
          <w:i w:val="false"/>
          <w:iCs w:val="false"/>
          <w:sz w:val="20"/>
          <w:szCs w:val="20"/>
        </w:rPr>
        <w:t xml:space="preserve">Edge quantization and efficiency. LSAQ [1], the base paper for this project, introduces layer-specific adaptive quantization by ranking layer importance through top-k token-set Jaccard similarity; it is evaluated only on general-domain perplexity and zero-shot tasks, without clinical or safety-oriented error analysis. QSpec [2] pairs a low-precision joint-quantized “draft” model with a high-precision weight-only “verify” model inside a speculative-decoding loop, showing mixed precision levels can preserve quality while accelerating inference. Husom et al. [3] empirically study 28 quantized LLMs on a Raspberry Pi 4, measuring energy, latency, and accuracy together, establishing the measurement methodology this project adopts. AWQ [8] shows protecting a small fraction of activation-salient weight channels preserves accuracy under low-bit quantization, motivating the selective-protection idea this project extends from the channel level to the clinical-vocabulary level. Zheng et al. [9] survey the edge-LLM lifecycle, confirming domain-aware compression for safety-critical use cases remains an open problem.</w:t>
      </w:r>
    </w:p>
    <w:p>
      <w:pPr>
        <w:spacing w:after="120" w:line="276"/>
        <w:jc w:val="both"/>
      </w:pPr>
      <w:r>
        <w:rPr>
          <w:rFonts w:ascii="Times New Roman" w:cs="Times New Roman" w:eastAsia="Times New Roman" w:hAnsi="Times New Roman"/>
          <w:b w:val="false"/>
          <w:bCs w:val="false"/>
          <w:i w:val="false"/>
          <w:iCs w:val="false"/>
          <w:sz w:val="20"/>
          <w:szCs w:val="20"/>
        </w:rPr>
        <w:t xml:space="preserve">Medical LLM quantization and offline clinical support. Zhan et al. [4] evaluate quantization (8-bit, 4-bit) across 12 biomedical LLMs and four task types, finding quantization preserves aggregate performance reasonably well — but do not analyse whether specific clinically critical tokens are disproportionately affected, the gap this project targets. Aletheia [6] and the QLoRA-based system of Ansari et al. [7] both demonstrate a small fine-tuned, quantized LLM can deliver usable offline decision-support behaviour on commodity hardware, validating feasibility, though neither examines clinically weighted layer-importance quantization.</w:t>
      </w:r>
    </w:p>
    <w:p>
      <w:pPr>
        <w:spacing w:after="120" w:line="276"/>
        <w:jc w:val="both"/>
      </w:pPr>
      <w:r>
        <w:rPr>
          <w:rFonts w:ascii="Times New Roman" w:cs="Times New Roman" w:eastAsia="Times New Roman" w:hAnsi="Times New Roman"/>
          <w:b w:val="false"/>
          <w:bCs w:val="false"/>
          <w:i w:val="false"/>
          <w:iCs w:val="false"/>
          <w:sz w:val="20"/>
          <w:szCs w:val="20"/>
        </w:rPr>
        <w:t xml:space="preserve">Clinical-error-aware evaluation. Beyond Scalar Scores [5] shows scalar text-similarity metrics obscure clinically significant errors in generated radiology reports, proposing fine-grained error-span judgments instead of a single accuracy number. This directly motivates the clinical critical-error rate metric adopted in this project's methodology.</w:t>
      </w:r>
    </w:p>
    <w:p>
      <w:pPr>
        <w:sectPr>
          <w:pgSz w:w="11906" w:h="16838" w:orient="portrait"/>
          <w:pgMar w:top="1440" w:right="1440" w:bottom="1440" w:left="1440" w:header="708" w:footer="708" w:gutter="0"/>
          <w:pgNumType/>
          <w:cols w:space="360" w:num="2"/>
          <w:docGrid w:linePitch="360"/>
        </w:sectPr>
      </w:pPr>
    </w:p>
    <w:p>
      <w:pPr>
        <w:spacing w:after="80" w:before="160"/>
      </w:pPr>
      <w:r>
        <w:rPr>
          <w:rFonts w:ascii="Times New Roman" w:cs="Times New Roman" w:eastAsia="Times New Roman" w:hAnsi="Times New Roman"/>
          <w:b/>
          <w:bCs/>
          <w:i/>
          <w:iCs/>
          <w:sz w:val="21"/>
          <w:szCs w:val="21"/>
        </w:rPr>
        <w:t xml:space="preserve">Table I. Summary of Reviewed Literature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200"/>
        <w:gridCol w:w="2200"/>
        <w:gridCol w:w="2100"/>
      </w:tblGrid>
      <w:tr>
        <w:tc>
          <w:tcPr>
            <w:tcW w:type="dxa" w:w="700"/>
            <w:shd w:fill="D9D9D9" w:val="clear"/>
            <w:tcMar>
              <w:top w:type="dxa" w:w="40"/>
              <w:left w:type="dxa" w:w="60"/>
              <w:bottom w:type="dxa" w:w="40"/>
              <w:right w:type="dxa" w:w="60"/>
            </w:tcMar>
          </w:tcPr>
          <w:p>
            <w:pPr>
              <w:jc w:val="left"/>
            </w:pPr>
            <w:r>
              <w:rPr>
                <w:rFonts w:ascii="Times New Roman" w:cs="Times New Roman" w:eastAsia="Times New Roman" w:hAnsi="Times New Roman"/>
                <w:b/>
                <w:bCs/>
                <w:sz w:val="15"/>
                <w:szCs w:val="15"/>
              </w:rPr>
              <w:t xml:space="preserve">Ref.</w:t>
            </w:r>
          </w:p>
        </w:tc>
        <w:tc>
          <w:tcPr>
            <w:tcW w:type="dxa" w:w="2000"/>
            <w:shd w:fill="D9D9D9" w:val="clear"/>
            <w:tcMar>
              <w:top w:type="dxa" w:w="40"/>
              <w:left w:type="dxa" w:w="60"/>
              <w:bottom w:type="dxa" w:w="40"/>
              <w:right w:type="dxa" w:w="60"/>
            </w:tcMar>
          </w:tcPr>
          <w:p>
            <w:pPr>
              <w:jc w:val="left"/>
            </w:pPr>
            <w:r>
              <w:rPr>
                <w:rFonts w:ascii="Times New Roman" w:cs="Times New Roman" w:eastAsia="Times New Roman" w:hAnsi="Times New Roman"/>
                <w:b/>
                <w:bCs/>
                <w:sz w:val="15"/>
                <w:szCs w:val="15"/>
              </w:rPr>
              <w:t xml:space="preserve">Paper</w:t>
            </w:r>
          </w:p>
        </w:tc>
        <w:tc>
          <w:tcPr>
            <w:tcW w:type="dxa" w:w="2200"/>
            <w:shd w:fill="D9D9D9" w:val="clear"/>
            <w:tcMar>
              <w:top w:type="dxa" w:w="40"/>
              <w:left w:type="dxa" w:w="60"/>
              <w:bottom w:type="dxa" w:w="40"/>
              <w:right w:type="dxa" w:w="60"/>
            </w:tcMar>
          </w:tcPr>
          <w:p>
            <w:pPr>
              <w:jc w:val="left"/>
            </w:pPr>
            <w:r>
              <w:rPr>
                <w:rFonts w:ascii="Times New Roman" w:cs="Times New Roman" w:eastAsia="Times New Roman" w:hAnsi="Times New Roman"/>
                <w:b/>
                <w:bCs/>
                <w:sz w:val="15"/>
                <w:szCs w:val="15"/>
              </w:rPr>
              <w:t xml:space="preserve">Method / Focus</w:t>
            </w:r>
          </w:p>
        </w:tc>
        <w:tc>
          <w:tcPr>
            <w:tcW w:type="dxa" w:w="2200"/>
            <w:shd w:fill="D9D9D9" w:val="clear"/>
            <w:tcMar>
              <w:top w:type="dxa" w:w="40"/>
              <w:left w:type="dxa" w:w="60"/>
              <w:bottom w:type="dxa" w:w="40"/>
              <w:right w:type="dxa" w:w="60"/>
            </w:tcMar>
          </w:tcPr>
          <w:p>
            <w:pPr>
              <w:jc w:val="left"/>
            </w:pPr>
            <w:r>
              <w:rPr>
                <w:rFonts w:ascii="Times New Roman" w:cs="Times New Roman" w:eastAsia="Times New Roman" w:hAnsi="Times New Roman"/>
                <w:b/>
                <w:bCs/>
                <w:sz w:val="15"/>
                <w:szCs w:val="15"/>
              </w:rPr>
              <w:t xml:space="preserve">Key Finding</w:t>
            </w:r>
          </w:p>
        </w:tc>
        <w:tc>
          <w:tcPr>
            <w:tcW w:type="dxa" w:w="2100"/>
            <w:shd w:fill="D9D9D9" w:val="clear"/>
            <w:tcMar>
              <w:top w:type="dxa" w:w="40"/>
              <w:left w:type="dxa" w:w="60"/>
              <w:bottom w:type="dxa" w:w="40"/>
              <w:right w:type="dxa" w:w="60"/>
            </w:tcMar>
          </w:tcPr>
          <w:p>
            <w:pPr>
              <w:jc w:val="left"/>
            </w:pPr>
            <w:r>
              <w:rPr>
                <w:rFonts w:ascii="Times New Roman" w:cs="Times New Roman" w:eastAsia="Times New Roman" w:hAnsi="Times New Roman"/>
                <w:b/>
                <w:bCs/>
                <w:sz w:val="15"/>
                <w:szCs w:val="15"/>
              </w:rPr>
              <w:t xml:space="preserve">Gap w.r.t. This Project</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LSAQ: Layer-Specific Adaptive Quantization (base paper)</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Top-k token-set Jaccard similarity to rank layer importance; dynamic bit-allocation</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Outperforms uniform quantization baselines on perplexity / zero-shot tasks</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Vocabulary-agnostic; no clinical-vocabulary weighting or critical-error analysis</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[2]</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QSpec: Speculative Decoding with Complementary Quantization</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Low-precision draft + high-precision verify via speculative decoding</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Up to 1.64× speedup with no quality loss</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Targets general reasoning speed, not domain-specific token safety</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[3]</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Sustainable LLM Inference for Edge AI</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Benchmarks 28 quantized LLMs on Raspberry Pi 4 with hardware energy metering</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Reveals energy–latency–accuracy trade-offs across quantization levels</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General-purpose tasks only; no medical-domain or critical-token analysis</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[4]</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Quantized LLMs in Biomedical NLP</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Evaluates 8-/4-bit quantization on 12 biomedical LLMs, 4 task types</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Quantization preserves domain knowledge and cuts GPU memory up to 75%</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layer-level or token-level clinical-error diagnosis</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[5]</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Beyond Scalar Scores (Radiology Reports)</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LLM-based fine-grained clinical-significance error evaluation</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Scalar metrics hide clinically significant errors; trained metrics improve discrimination</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Focused on report evaluation, not quantization-induced error</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Aletheia: Offline-First Clinical Decision Support</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QLoRA fine-tuned 3B model for offline differential diagnosis</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80% top-1 diagnostic accuracy fully offline on commodity hardware</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adaptive/clinically-weighted quantization strategy</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[7]</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Lightweight CDS with QLoRA + RAG</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QLoRA fine-tuning combined with retrieval-augmented generation</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Improves response accuracy on medical benchmarks with modest resources</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Standard uniform quantization; no layer-importance weighting</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[8]</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AWQ: Activation-Aware Weight Quantization</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Protects activation-salient weight channels during low-bit quantization</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Preserves accuracy by protecting ~1% salient weights</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Salience is activation-based, not clinical-vocabulary-based</w:t>
            </w:r>
          </w:p>
        </w:tc>
      </w:tr>
      <w:tr>
        <w:tc>
          <w:tcPr>
            <w:tcW w:type="dxa" w:w="7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[9]</w:t>
            </w:r>
          </w:p>
        </w:tc>
        <w:tc>
          <w:tcPr>
            <w:tcW w:type="dxa" w:w="20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 Review on Edge LLMs</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Survey of edge-LLM compression, runtime, and applications</w:t>
            </w:r>
          </w:p>
        </w:tc>
        <w:tc>
          <w:tcPr>
            <w:tcW w:type="dxa" w:w="22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Identifies domain-aware, safety-critical compression as an open problem</w:t>
            </w:r>
          </w:p>
        </w:tc>
        <w:tc>
          <w:tcPr>
            <w:tcW w:type="dxa" w:w="21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Survey-level; motivates but does not solve this project's problem</w:t>
            </w:r>
          </w:p>
        </w:tc>
      </w:tr>
    </w:tbl>
    <w:p>
      <w:pPr>
        <w:sectPr>
          <w:type w:val="continuous"/>
          <w:pgSz w:w="11906" w:h="16838" w:orient="portrait"/>
          <w:pgMar w:top="1440" w:right="1440" w:bottom="1440" w:left="1440" w:header="708" w:footer="708" w:gutter="0"/>
          <w:pgNumType/>
          <w:docGrid w:linePitch="360"/>
        </w:sectPr>
      </w:pPr>
    </w:p>
    <w:p>
      <w:pPr>
        <w:spacing w:after="120" w:line="276"/>
        <w:jc w:val="both"/>
      </w:pPr>
      <w:r>
        <w:rPr>
          <w:rFonts w:ascii="Times New Roman" w:cs="Times New Roman" w:eastAsia="Times New Roman" w:hAnsi="Times New Roman"/>
          <w:b w:val="false"/>
          <w:bCs w:val="false"/>
          <w:i w:val="false"/>
          <w:iCs w:val="false"/>
          <w:sz w:val="20"/>
          <w:szCs w:val="20"/>
        </w:rPr>
        <w:t xml:space="preserve"/>
      </w:r>
    </w:p>
    <w:p>
      <w:pPr>
        <w:spacing w:after="120" w:before="240"/>
        <w:jc w:val="center"/>
      </w:pPr>
      <w:r>
        <w:rPr>
          <w:rFonts w:ascii="Times New Roman" w:cs="Times New Roman" w:eastAsia="Times New Roman" w:hAnsi="Times New Roman"/>
          <w:b/>
          <w:bCs/>
          <w:caps/>
          <w:sz w:val="22"/>
          <w:szCs w:val="22"/>
        </w:rPr>
        <w:t xml:space="preserve">VI. Novelty</w:t>
      </w:r>
    </w:p>
    <w:p>
      <w:pPr>
        <w:spacing w:after="120" w:line="276" w:before="0" w:lineRule="auto"/>
        <w:jc w:val="both"/>
      </w:pPr>
      <w:r/>
      <w:r>
        <w:rPr>
          <w:rFonts w:ascii="Times New Roman" w:hAnsi="Times New Roman"/>
          <w:b w:val="0"/>
          <w:i w:val="0"/>
          <w:sz w:val="20"/>
        </w:rPr>
        <w:t>The novelty of this work is the introduction of the Clinically-Weighted Layer Sensitivity Score (CW-LSS), the first layer-importance scoring criterion for LLM quantization that is explicitly clinical-vocabulary-aware rather than purely frequency-aware. This contribution is distinct from prior work along three axes:</w:t>
      </w:r>
    </w:p>
    <w:p>
      <w:pPr>
        <w:spacing w:after="120" w:line="276" w:before="0" w:lineRule="auto"/>
        <w:ind w:left="260"/>
        <w:jc w:val="both"/>
      </w:pPr>
      <w:r/>
      <w:r>
        <w:rPr>
          <w:rFonts w:ascii="Times New Roman" w:hAnsi="Times New Roman"/>
          <w:b w:val="0"/>
          <w:i w:val="0"/>
          <w:sz w:val="20"/>
        </w:rPr>
        <w:t>• Vocabulary-conditioned importance, not activation-conditioned. AWQ [8] protects weights based on activation magnitude — a statistical, task-agnostic signal. CW-LSS instead conditions importance on whether a token belongs to a clinically salient class (drug name, dosage, lab value, negation), tagged via an extensive clinical lexicon, making the protection criterion semantic rather than purely statistical.</w:t>
      </w:r>
    </w:p>
    <w:p>
      <w:pPr>
        <w:spacing w:after="120" w:line="276" w:before="0" w:lineRule="auto"/>
        <w:ind w:left="260"/>
        <w:jc w:val="both"/>
      </w:pPr>
      <w:r/>
      <w:r>
        <w:rPr>
          <w:rFonts w:ascii="Times New Roman" w:hAnsi="Times New Roman"/>
          <w:b w:val="0"/>
          <w:i w:val="0"/>
          <w:sz w:val="20"/>
        </w:rPr>
        <w:t>• Domain-safety metric, not aggregate accuracy. Unlike LSAQ [1] and the biomedical quantization benchmark of Zhan et al. [4], which both validate quantization using aggregate accuracy/perplexity, this project introduces layer-level scoring together with a dedicated clinical critical-error rate (dosage, drug-entity, negation errors) as the evaluation target — directly addressing the metric-hiding problem demonstrated in [5], but at the compression-decision stage rather than only the evaluation stage.</w:t>
      </w:r>
    </w:p>
    <w:p>
      <w:pPr>
        <w:spacing w:after="120" w:line="276" w:before="0" w:lineRule="auto"/>
        <w:ind w:left="260"/>
        <w:jc w:val="both"/>
      </w:pPr>
      <w:r/>
      <w:r>
        <w:rPr>
          <w:rFonts w:ascii="Times New Roman" w:hAnsi="Times New Roman"/>
          <w:b w:val="0"/>
          <w:i w:val="0"/>
          <w:sz w:val="20"/>
        </w:rPr>
        <w:t>• End-to-end clinical compression and virtual edge profiling pipeline. We connect domain QLoRA fine-tuning, per-position LM-head activation extraction, greedy mixed-precision bit allocation, and rigorous 4-arm safety benchmarking with virtual edge profiling simulating low-power quad-core edge processors.</w:t>
      </w:r>
    </w:p>
    <w:p>
      <w:pPr>
        <w:spacing w:after="120" w:line="276" w:before="0" w:lineRule="auto"/>
        <w:jc w:val="both"/>
      </w:pPr>
      <w:r/>
      <w:r>
        <w:rPr>
          <w:rFonts w:ascii="Times New Roman" w:hAnsi="Times New Roman"/>
          <w:b w:val="0"/>
          <w:i w:val="0"/>
          <w:sz w:val="20"/>
        </w:rPr>
        <w:t>In summary, CW-LSS is positioned at the intersection of two previously separate lines of work — layer-adaptive quantization (LSAQ, AWQ) and clinical-error-aware evaluation (Beyond Scalar Scores) — and is, to the best of our literature review, the first attempt to unify them into an operational quantization-time scoring criterion.</w:t>
      </w:r>
    </w:p>
    <w:p>
      <w:pPr>
        <w:spacing w:after="120" w:before="240"/>
        <w:jc w:val="center"/>
      </w:pPr>
      <w:r>
        <w:rPr>
          <w:rFonts w:ascii="Times New Roman" w:cs="Times New Roman" w:eastAsia="Times New Roman" w:hAnsi="Times New Roman"/>
          <w:b/>
          <w:bCs/>
          <w:caps/>
          <w:sz w:val="22"/>
          <w:szCs w:val="22"/>
        </w:rPr>
        <w:t xml:space="preserve">VII. Methodology</w:t>
      </w:r>
    </w:p>
    <w:p>
      <w:pPr>
        <w:spacing w:after="80" w:before="160"/>
      </w:pPr>
      <w:r>
        <w:rPr>
          <w:rFonts w:ascii="Times New Roman" w:cs="Times New Roman" w:eastAsia="Times New Roman" w:hAnsi="Times New Roman"/>
          <w:b/>
          <w:bCs/>
          <w:i/>
          <w:iCs/>
          <w:sz w:val="21"/>
          <w:szCs w:val="21"/>
        </w:rPr>
        <w:t xml:space="preserve">A. System Overview</w:t>
      </w:r>
    </w:p>
    <w:p>
      <w:pPr>
        <w:spacing w:after="120" w:line="276" w:before="0" w:lineRule="auto"/>
        <w:jc w:val="both"/>
      </w:pPr>
      <w:r/>
      <w:r>
        <w:rPr>
          <w:rFonts w:ascii="Times New Roman" w:hAnsi="Times New Roman"/>
          <w:b w:val="0"/>
          <w:i w:val="0"/>
          <w:sz w:val="20"/>
        </w:rPr>
        <w:t>The implemented pipeline comprises four sequential stages: (1) domain fine-tuning of Qwen2.5-1.5B-Instruct using 4-bit NF4 QLoRA on PubMedQA, (2) layer-importance scoring under both baseline LSAQ and proposed CW-LSS via forward activation hooks with per-position LM-head vocabulary projection, (3) greedy mixed-precision bit allocation targeting an average bit-width of 5.0 bits/weight (7 layers at 8-bit, 21 layers at 4-bit), and (4) comprehensive 4-arm evaluation benchmarking perplexity, clinical critical errors, and virtual edge execution efficiency.</w:t>
      </w:r>
    </w:p>
    <w:p>
      <w:pPr>
        <w:spacing w:after="80" w:before="160"/>
      </w:pPr>
      <w:r>
        <w:rPr>
          <w:rFonts w:ascii="Times New Roman" w:cs="Times New Roman" w:eastAsia="Times New Roman" w:hAnsi="Times New Roman"/>
          <w:b/>
          <w:bCs/>
          <w:i/>
          <w:iCs/>
          <w:sz w:val="21"/>
          <w:szCs w:val="21"/>
        </w:rPr>
        <w:t xml:space="preserve">B. Clinically-Weighted Layer Sensitivity Score (CW-LSS)</w:t>
      </w:r>
    </w:p>
    <w:p>
      <w:pPr>
        <w:spacing w:after="120" w:line="276" w:before="0" w:lineRule="auto"/>
        <w:jc w:val="both"/>
      </w:pPr>
      <w:r/>
      <w:r>
        <w:rPr>
          <w:rFonts w:ascii="Times New Roman" w:hAnsi="Times New Roman"/>
          <w:b w:val="0"/>
          <w:i w:val="0"/>
          <w:sz w:val="20"/>
        </w:rPr>
        <w:t>For each transformer decoder layer l ∈ {0, ..., L−1}, let Hin(l) and Hout(l) be the hidden state representations at the layer's input and output respectively. To measure how each layer transforms semantic representations in token space, we project hidden states through the final RMSNorm and the language model head: Z = LMHead(RMSNorm(H)). At each sequence position p, the top-k tokens (k = 3) with highest predicted logit values are extracted, forming the layer's input and output candidate sets Al and Bl across calibration sequences.</w:t>
      </w:r>
    </w:p>
    <w:p>
      <w:pPr>
        <w:spacing w:after="120" w:before="0" w:line="276" w:lineRule="auto"/>
        <w:jc w:val="center"/>
      </w:pPr>
      <w:r/>
      <w:r>
        <w:rPr>
          <w:rFonts w:ascii="Times New Roman" w:hAnsi="Times New Roman"/>
          <w:b/>
          <w:i w:val="0"/>
          <w:sz w:val="20"/>
        </w:rPr>
        <w:t>CW-LSS(l) = [ Σ_{t∈Al∩Bl} w(t) ] / [ Σ_{t∈Al∪Bl} w(t) ]     (1)</w:t>
      </w:r>
    </w:p>
    <w:p>
      <w:pPr>
        <w:spacing w:after="120" w:line="276" w:before="0" w:lineRule="auto"/>
        <w:jc w:val="both"/>
      </w:pPr>
      <w:r/>
      <w:r>
        <w:rPr>
          <w:rFonts w:ascii="Times New Roman" w:hAnsi="Times New Roman"/>
          <w:b w:val="0"/>
          <w:i w:val="0"/>
          <w:sz w:val="20"/>
        </w:rPr>
        <w:t>Each candidate token t is assigned a clinical weight w(t), obtained by matching tokens against our clinical lexicon (110+ generic and brand drug names, numerical dosage patterns and units, lab test keywords, and clinical negation cues), with w(t) = α (α = 5.0) for clinically salient tokens and w(t) = 1.0 otherwise. A lower similarity score signifies a greater layer transformation, indicating high sensitivity and importance. Layers that disturb clinically weighted tokens suffer an amplified score drop, prioritizing them for higher precision. The allocator sorts layers by sensitivity score and assigns 8-bit precision to the top N8 most sensitive layers (N8 = 7) and 4-bit precision to the remaining 21 layers, guaranteeing an exact average precision of 5.00 bits.</w:t>
      </w:r>
    </w:p>
    <w:p>
      <w:pPr>
        <w:spacing w:after="80" w:before="160" w:line="240" w:lineRule="auto"/>
        <w:jc w:val="left"/>
      </w:pPr>
      <w:r/>
      <w:r>
        <w:rPr>
          <w:rFonts w:ascii="Times New Roman" w:hAnsi="Times New Roman"/>
          <w:b/>
          <w:i/>
          <w:sz w:val="21"/>
        </w:rPr>
        <w:t>C. Experimental Design &amp; Model Architecture</w:t>
      </w:r>
    </w:p>
    <w:p>
      <w:pPr>
        <w:spacing w:after="120" w:line="276" w:before="0" w:lineRule="auto"/>
        <w:jc w:val="both"/>
      </w:pPr>
      <w:r/>
      <w:r>
        <w:rPr>
          <w:rFonts w:ascii="Times New Roman" w:hAnsi="Times New Roman"/>
          <w:b w:val="0"/>
          <w:i w:val="0"/>
          <w:sz w:val="20"/>
        </w:rPr>
        <w:t>We employ Qwen2.5-1.5B-Instruct (1.548B parameters, 28 decoder layers, hidden dimension 1536, 12 attention heads, 151,936 vocabulary). QLoRA fine-tuning is configured with 4-bit NormalFloat (NF4) base quantization, double quantization, bfloat16 computation, and LoRA adapters of rank r = 16 and α = 32 applied to all 7 linear projection matrices (q_proj, k_proj, v_proj, o_proj, gate_proj, up_proj, down_proj), yielding 4,358,144 trainable parameters (0.28% of model size). Four model variants are evaluated: (a) Base FP16, (b) Fine-tuned FP16, (c) LSAQ 5.0-bit mixed precision, and (d) CW-LSAQ 5.0-bit mixed precision.</w:t>
      </w:r>
    </w:p>
    <w:p>
      <w:pPr>
        <w:spacing w:after="80" w:before="160" w:line="240" w:lineRule="auto"/>
        <w:jc w:val="left"/>
      </w:pPr>
      <w:r/>
      <w:r>
        <w:rPr>
          <w:rFonts w:ascii="Times New Roman" w:hAnsi="Times New Roman"/>
          <w:b/>
          <w:i/>
          <w:sz w:val="21"/>
        </w:rPr>
        <w:t>D. Datasets &amp; Diagnostic Probes</w:t>
      </w:r>
    </w:p>
    <w:p>
      <w:pPr>
        <w:spacing w:after="120" w:line="276" w:before="0" w:lineRule="auto"/>
        <w:jc w:val="both"/>
      </w:pPr>
      <w:r/>
      <w:r>
        <w:rPr>
          <w:rFonts w:ascii="Times New Roman" w:hAnsi="Times New Roman"/>
          <w:b w:val="0"/>
          <w:i w:val="0"/>
          <w:sz w:val="20"/>
        </w:rPr>
        <w:t>Domain adaptation and activation calibration are performed using the PubMedQA biomedical dataset. To evaluate clinical safety, we construct a curated battery of 45 clinical diagnostic test probes spanning three core failure modes: (1) Dosage Numeral Preservation (15 probes, testing exact numeric quantities and units such as mg, mcg, mL), (2) Pharmacological Agent Identity (15 probes, testing retention of specific drug entities without dangerous substitution), and (3) Negation Cue Fidelity (15 probes, testing preservation of clinical negation markers such as 'no', 'denies', 'without', 'negative').</w:t>
      </w:r>
    </w:p>
    <w:p>
      <w:pPr>
        <w:spacing w:after="80" w:before="160"/>
      </w:pPr>
      <w:r>
        <w:rPr>
          <w:rFonts w:ascii="Times New Roman" w:cs="Times New Roman" w:eastAsia="Times New Roman" w:hAnsi="Times New Roman"/>
          <w:b/>
          <w:bCs/>
          <w:i/>
          <w:iCs/>
          <w:sz w:val="21"/>
          <w:szCs w:val="21"/>
        </w:rPr>
        <w:t xml:space="preserve">E. Evaluation Metrics</w:t>
      </w:r>
    </w:p>
    <w:p>
      <w:pPr>
        <w:spacing w:after="120" w:line="276" w:before="0" w:lineRule="auto"/>
        <w:ind w:left="260"/>
        <w:jc w:val="both"/>
      </w:pPr>
      <w:r/>
      <w:r>
        <w:rPr>
          <w:rFonts w:ascii="Times New Roman" w:hAnsi="Times New Roman"/>
          <w:b w:val="0"/>
          <w:i w:val="0"/>
          <w:sz w:val="20"/>
        </w:rPr>
        <w:t>• Language Modeling Quality: Perplexity (PPL) computed over held-out clinical text sequences, capturing general syntactic and linguistic fluency.</w:t>
      </w:r>
    </w:p>
    <w:p>
      <w:pPr>
        <w:spacing w:after="120" w:line="276" w:before="0" w:lineRule="auto"/>
        <w:ind w:left="260"/>
        <w:jc w:val="both"/>
      </w:pPr>
      <w:r/>
      <w:r>
        <w:rPr>
          <w:rFonts w:ascii="Times New Roman" w:hAnsi="Times New Roman"/>
          <w:b w:val="0"/>
          <w:i w:val="0"/>
          <w:sz w:val="20"/>
        </w:rPr>
        <w:t>• Clinical Safety: Clinical Critical-Error Rate (CCER), defined as the ratio of clinical errors to total probes: CCER = (Edosage + Edrug + Enegation) / Nprobes, identifying silent corruptions that scalar text metrics overlook.</w:t>
      </w:r>
    </w:p>
    <w:p>
      <w:pPr>
        <w:spacing w:after="120" w:line="276" w:before="0" w:lineRule="auto"/>
        <w:ind w:left="260"/>
        <w:jc w:val="both"/>
      </w:pPr>
      <w:r/>
      <w:r>
        <w:rPr>
          <w:rFonts w:ascii="Times New Roman" w:hAnsi="Times New Roman"/>
          <w:b w:val="0"/>
          <w:i w:val="0"/>
          <w:sz w:val="20"/>
        </w:rPr>
        <w:t>• Edge Efficiency: Model storage footprint (MB), peak resident set size (RSS RAM in MB), and inference throughput (tokens/second) measured on a controlled CPU runtime.</w:t>
      </w:r>
    </w:p>
    <w:p>
      <w:pPr>
        <w:spacing w:after="80" w:before="160" w:line="240" w:lineRule="auto"/>
        <w:jc w:val="left"/>
      </w:pPr>
      <w:r/>
      <w:r>
        <w:rPr>
          <w:rFonts w:ascii="Times New Roman" w:hAnsi="Times New Roman"/>
          <w:b/>
          <w:i/>
          <w:sz w:val="21"/>
        </w:rPr>
        <w:t>F. Tools, Frameworks, and Experimental Setup</w:t>
      </w:r>
    </w:p>
    <w:p>
      <w:pPr>
        <w:spacing w:after="120" w:line="276" w:before="0" w:lineRule="auto"/>
        <w:jc w:val="both"/>
      </w:pPr>
      <w:r/>
      <w:r>
        <w:rPr>
          <w:rFonts w:ascii="Times New Roman" w:hAnsi="Times New Roman"/>
          <w:b w:val="0"/>
          <w:i w:val="0"/>
          <w:sz w:val="20"/>
        </w:rPr>
        <w:t>The pipeline is implemented in Python 3 using PyTorch 2.x, Hugging Face Transformers, PEFT, and bitsandbytes. Fine-tuning was executed on an NVIDIA RTX GPU. Edge feasibility profiling was conducted using a dedicated Virtual Edge Profiler that restricts PyTorch thread execution to 4 CPU threads (simulating a quad-core ARM Cortex-A72/A76 SoC found in Raspberry Pi 4/5 or mobile devices) and monitors process memory consumption using psutil.</w:t>
      </w:r>
    </w:p>
    <w:p>
      <w:pPr>
        <w:spacing w:after="120" w:before="240" w:line="240" w:lineRule="auto"/>
        <w:jc w:val="center"/>
      </w:pPr>
      <w:r/>
      <w:r>
        <w:rPr>
          <w:rFonts w:ascii="Times New Roman" w:hAnsi="Times New Roman"/>
          <w:b/>
          <w:sz w:val="22"/>
        </w:rPr>
        <w:t>VIII. Results</w:t>
      </w:r>
    </w:p>
    <w:p>
      <w:pPr>
        <w:spacing w:after="120" w:line="276" w:before="0" w:lineRule="auto"/>
        <w:jc w:val="both"/>
      </w:pPr>
      <w:r/>
      <w:r>
        <w:rPr>
          <w:rFonts w:ascii="Times New Roman" w:hAnsi="Times New Roman"/>
          <w:b w:val="0"/>
          <w:i w:val="0"/>
          <w:sz w:val="20"/>
        </w:rPr>
        <w:t>This section presents the full empirical results of our implemented pipeline: (a) layer sensitivity scoring and bit-allocation divergence across the 28 decoder layers of Qwen2.5-1.5B-Instruct, (b) a 4-arm comprehensive benchmark comparison evaluating perplexity, clinical safety, and storage compression, and (c) virtual edge hardware profiling verifying execution viability under edge constraints.</w:t>
      </w:r>
    </w:p>
    <w:p>
      <w:pPr>
        <w:spacing w:after="80" w:before="160" w:line="240" w:lineRule="auto"/>
        <w:jc w:val="left"/>
      </w:pPr>
      <w:r/>
      <w:r>
        <w:rPr>
          <w:rFonts w:ascii="Times New Roman" w:hAnsi="Times New Roman"/>
          <w:b/>
          <w:i/>
          <w:sz w:val="21"/>
        </w:rPr>
        <w:t>A. Empirical Layer Sensitivity Scoring and Bit Allocation</w:t>
      </w:r>
    </w:p>
    <w:p>
      <w:pPr>
        <w:spacing w:after="120" w:line="276" w:before="0" w:lineRule="auto"/>
        <w:jc w:val="both"/>
      </w:pPr>
      <w:r/>
      <w:r>
        <w:rPr>
          <w:rFonts w:ascii="Times New Roman" w:hAnsi="Times New Roman"/>
          <w:b w:val="0"/>
          <w:i w:val="0"/>
          <w:sz w:val="20"/>
        </w:rPr>
        <w:t>We extracted layer-wise input and output hidden states across 28 layers over PubMedQA calibration sequences, projecting each state to vocabulary space to compute LSAQ and CW-LSS scores. Across the network, scores ranged from 0.0557 (Layer 0, high transformation) to 0.5976 (Layer 25). The clinical weighting delta (LSAQ − CW-LSS) ranged from −0.0068 to +0.0060 across layers. Crucially, incorporating clinical token weighting caused an empirical reallocation between two layers: Layer 26 dropped from 0.3522 to 0.3488 (promoted from 4-bit to 8-bit), while Layer 4 changed from 0.3508 to 0.3507 (demoted from 8-bit to 4-bit).</w:t>
      </w:r>
    </w:p>
    <w:p>
      <w:pPr>
        <w:sectPr>
          <w:pgSz w:w="11906" w:h="16838" w:orient="portrait"/>
          <w:pgMar w:top="1440" w:right="1440" w:bottom="1440" w:left="1440" w:header="708" w:footer="708" w:gutter="0"/>
          <w:pgNumType/>
          <w:cols w:space="360" w:num="2"/>
          <w:docGrid w:linePitch="360"/>
        </w:sectPr>
      </w:pPr>
    </w:p>
    <w:p>
      <w:pPr>
        <w:spacing w:after="80" w:before="120" w:line="240" w:lineRule="auto"/>
        <w:jc w:val="center"/>
      </w:pPr>
      <w:r>
        <w:rPr>
          <w:i/>
        </w:rPr>
      </w:r>
      <w:r>
        <w:rPr>
          <w:rFonts w:ascii="Times New Roman" w:hAnsi="Times New Roman"/>
          <w:b/>
          <w:sz w:val="20"/>
        </w:rPr>
        <w:t>Table II. Empirical Layer Sensitivity Scores and Mixed-Precision Bit Allocation (Qwen2.5-1.5B-Instruct)</w:t>
      </w:r>
    </w:p>
    <w:tbl>
      <w:tblPr>
        <w:tblW w:type="auto" w:w="0"/>
        <w:tblLook w:firstColumn="1" w:firstRow="1" w:lastColumn="0" w:lastRow="0" w:noHBand="0" w:noVBand="1" w:val="04A0"/>
        <w:tblW w:type="dxa" w:w="92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4"/>
        <w:gridCol w:w="1504"/>
        <w:gridCol w:w="1504"/>
        <w:gridCol w:w="1504"/>
        <w:gridCol w:w="1504"/>
        <w:gridCol w:w="1504"/>
      </w:tblGrid>
      <w:tr>
        <w:tc>
          <w:tcPr>
            <w:tcW w:type="dxa" w:w="1504"/>
            <w:tcW w:type="dxa" w:w="10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Layer Index</w:t>
            </w:r>
          </w:p>
        </w:tc>
        <w:tc>
          <w:tcPr>
            <w:tcW w:type="dxa" w:w="1504"/>
            <w:tcW w:type="dxa" w:w="22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Layer Architecture Role</w:t>
            </w:r>
          </w:p>
        </w:tc>
        <w:tc>
          <w:tcPr>
            <w:tcW w:type="dxa" w:w="1504"/>
            <w:tcW w:type="dxa" w:w="14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LSAQ (Unweighted)</w:t>
            </w:r>
          </w:p>
        </w:tc>
        <w:tc>
          <w:tcPr>
            <w:tcW w:type="dxa" w:w="1504"/>
            <w:tcW w:type="dxa" w:w="14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CW-LSS (Weighted)</w:t>
            </w:r>
          </w:p>
        </w:tc>
        <w:tc>
          <w:tcPr>
            <w:tcW w:type="dxa" w:w="1504"/>
            <w:tcW w:type="dxa" w:w="14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Score Delta (L−CW)</w:t>
            </w:r>
          </w:p>
        </w:tc>
        <w:tc>
          <w:tcPr>
            <w:tcW w:type="dxa" w:w="1504"/>
            <w:tcW w:type="dxa" w:w="18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Precision Allocation</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0</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Input Decoder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0.0559</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0.0557</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+0.0002</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8-bit → 8-bit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1</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Early Attention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0.2937</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0.2933</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+0.0003</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8-bit → 8-bit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2</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Early Feature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0.3158</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0.3154</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+0.0004</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8-bit → 8-bit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3</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Early Semantic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0.3203</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0.3207</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−0.0004</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8-bit → 8-bit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4</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Early Syntactic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0.3508</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0.3507</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+0.0002</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sz w:val="15"/>
              </w:rPr>
              <w:t>8-bit → 4-bit (Demoted)*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5</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Syntactic Integration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0.3450</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0.3455</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−0.0005</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8-bit → 8-bit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12</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Mid-Network Representation</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0.5178</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0.5201</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−0.0022</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4-bit → 4-bit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16</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High-Drift Intermediate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0.5827</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0.5829</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−0.0002</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4-bit → 4-bit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22</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Late Contextual Assembly</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0.4709</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0.4777</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−0.0068</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4-bit → 4-bit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25</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Pre-Output Lexical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0.5976</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0.5952</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+0.0024</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4-bit → 4-bit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26</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Output Semantic Layer</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0.3522</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0.3488</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+0.0034</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sz w:val="15"/>
              </w:rPr>
              <w:t>4-bit → 8-bit (Promoted)*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Layer 27</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Final Output Projection</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0.3365</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0.3305</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+0.0060</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8-bit → 8-bit (Retained)</w:t>
            </w:r>
          </w:p>
        </w:tc>
      </w:tr>
      <w:tr>
        <w:tc>
          <w:tcPr>
            <w:tcW w:type="dxa" w:w="1504"/>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All 28 Layers</w:t>
            </w:r>
          </w:p>
        </w:tc>
        <w:tc>
          <w:tcPr>
            <w:tcW w:type="dxa" w:w="1504"/>
            <w:tcW w:type="dxa" w:w="2200"/>
            <w:tcMar>
              <w:top w:w="40" w:type="dxa"/>
              <w:bottom w:w="40" w:type="dxa"/>
              <w:left w:w="60" w:type="dxa"/>
              <w:right w:w="60" w:type="dxa"/>
            </w:tcMar>
          </w:tcPr>
          <w:p>
            <w:pPr>
              <w:spacing w:before="0" w:after="0" w:line="240" w:lineRule="auto"/>
              <w:jc w:val="left"/>
            </w:pPr>
            <w:r>
              <w:rPr>
                <w:rFonts w:ascii="Times New Roman" w:hAnsi="Times New Roman"/>
                <w:b w:val="0"/>
                <w:sz w:val="15"/>
              </w:rPr>
              <w:t>Full Qwen2.5-1.5B-Instruct Model</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Min 0.0559</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Min 0.0557</w:t>
            </w:r>
          </w:p>
        </w:tc>
        <w:tc>
          <w:tcPr>
            <w:tcW w:type="dxa" w:w="1504"/>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Delta: [−0.007, +0.006]</w:t>
            </w:r>
          </w:p>
        </w:tc>
        <w:tc>
          <w:tcPr>
            <w:tcW w:type="dxa" w:w="1504"/>
            <w:tcW w:type="dxa" w:w="1800"/>
            <w:tcMar>
              <w:top w:w="40" w:type="dxa"/>
              <w:bottom w:w="40" w:type="dxa"/>
              <w:left w:w="60" w:type="dxa"/>
              <w:right w:w="60" w:type="dxa"/>
            </w:tcMar>
          </w:tcPr>
          <w:p>
            <w:pPr>
              <w:spacing w:before="0" w:after="0" w:line="240" w:lineRule="auto"/>
              <w:jc w:val="center"/>
            </w:pPr>
            <w:r>
              <w:rPr>
                <w:rFonts w:ascii="Times New Roman" w:hAnsi="Times New Roman"/>
                <w:b/>
                <w:sz w:val="15"/>
              </w:rPr>
              <w:t>5.00 avg bits (7×8b, 21×4b)</w:t>
            </w:r>
          </w:p>
        </w:tc>
      </w:tr>
    </w:tbl>
    <w:p>
      <w:pPr>
        <w:spacing w:before="40" w:after="160"/>
        <w:jc w:val="left"/>
      </w:pPr>
      <w:r>
        <w:rPr>
          <w:rFonts w:ascii="Times New Roman" w:hAnsi="Times New Roman"/>
          <w:i/>
          <w:sz w:val="16"/>
        </w:rPr>
        <w:t>* Denotes layers where the clinical weighting in CW-LSS altered the precision allocation relative to standard LSAQ.</w:t>
      </w:r>
    </w:p>
    <w:p>
      <w:pPr>
        <w:spacing w:before="120" w:after="80"/>
        <w:jc w:val="center"/>
      </w:pPr>
      <w:r>
        <w:rPr>
          <w:rFonts w:ascii="Times New Roman" w:hAnsi="Times New Roman"/>
          <w:b/>
          <w:i/>
          <w:sz w:val="20"/>
        </w:rPr>
        <w:t>Table III. Comprehensive Four-Arm Benchmark Comparison: Perplexity, Clinical Safety, and Storage Footprint</w:t>
      </w:r>
    </w:p>
    <w:tbl>
      <w:tblPr>
        <w:tblW w:type="auto" w:w="0"/>
        <w:tblLook w:firstColumn="1" w:firstRow="1" w:lastColumn="0" w:lastRow="0" w:noHBand="0" w:noVBand="1" w:val="04A0"/>
        <w:tblW w:type="dxa" w:w="92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289"/>
        <w:gridCol w:w="1289"/>
        <w:gridCol w:w="1289"/>
        <w:gridCol w:w="1289"/>
        <w:gridCol w:w="1289"/>
        <w:gridCol w:w="1289"/>
        <w:gridCol w:w="1289"/>
      </w:tblGrid>
      <w:tr>
        <w:tc>
          <w:tcPr>
            <w:tcW w:type="dxa" w:w="1289"/>
            <w:tcW w:type="dxa" w:w="19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Model Evaluation Arm</w:t>
            </w:r>
          </w:p>
        </w:tc>
        <w:tc>
          <w:tcPr>
            <w:tcW w:type="dxa" w:w="1289"/>
            <w:tcW w:type="dxa" w:w="12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Precision Schedule</w:t>
            </w:r>
          </w:p>
        </w:tc>
        <w:tc>
          <w:tcPr>
            <w:tcW w:type="dxa" w:w="1289"/>
            <w:tcW w:type="dxa" w:w="10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Model Size</w:t>
            </w:r>
          </w:p>
        </w:tc>
        <w:tc>
          <w:tcPr>
            <w:tcW w:type="dxa" w:w="1289"/>
            <w:tcW w:type="dxa" w:w="10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Compression</w:t>
            </w:r>
          </w:p>
        </w:tc>
        <w:tc>
          <w:tcPr>
            <w:tcW w:type="dxa" w:w="1289"/>
            <w:tcW w:type="dxa" w:w="12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Perplexity (PPL)</w:t>
            </w:r>
          </w:p>
        </w:tc>
        <w:tc>
          <w:tcPr>
            <w:tcW w:type="dxa" w:w="1289"/>
            <w:tcW w:type="dxa" w:w="15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CCER (Critical Errors)</w:t>
            </w:r>
          </w:p>
        </w:tc>
        <w:tc>
          <w:tcPr>
            <w:tcW w:type="dxa" w:w="1289"/>
            <w:tcW w:type="dxa" w:w="14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Edge Feasible?</w:t>
            </w:r>
          </w:p>
        </w:tc>
      </w:tr>
      <w:tr>
        <w:tc>
          <w:tcPr>
            <w:tcW w:type="dxa" w:w="1289"/>
            <w:tcW w:type="dxa" w:w="1900"/>
            <w:tcMar>
              <w:top w:w="40" w:type="dxa"/>
              <w:bottom w:w="40" w:type="dxa"/>
              <w:left w:w="60" w:type="dxa"/>
              <w:right w:w="60" w:type="dxa"/>
            </w:tcMar>
          </w:tcPr>
          <w:p>
            <w:pPr>
              <w:spacing w:before="0" w:after="0" w:line="240" w:lineRule="auto"/>
              <w:jc w:val="left"/>
            </w:pPr>
            <w:r>
              <w:rPr>
                <w:rFonts w:ascii="Times New Roman" w:hAnsi="Times New Roman"/>
                <w:b w:val="0"/>
                <w:sz w:val="15"/>
              </w:rPr>
              <w:t>Arm 1: Base Model (FP16)</w:t>
            </w:r>
          </w:p>
        </w:tc>
        <w:tc>
          <w:tcPr>
            <w:tcW w:type="dxa" w:w="1289"/>
            <w:tcW w:type="dxa" w:w="1200"/>
            <w:tcMar>
              <w:top w:w="40" w:type="dxa"/>
              <w:bottom w:w="40" w:type="dxa"/>
              <w:left w:w="60" w:type="dxa"/>
              <w:right w:w="60" w:type="dxa"/>
            </w:tcMar>
          </w:tcPr>
          <w:p>
            <w:pPr>
              <w:spacing w:before="0" w:after="0" w:line="240" w:lineRule="auto"/>
              <w:jc w:val="center"/>
            </w:pPr>
            <w:r>
              <w:rPr>
                <w:rFonts w:ascii="Times New Roman" w:hAnsi="Times New Roman"/>
                <w:b w:val="0"/>
                <w:sz w:val="15"/>
              </w:rPr>
              <w:t>16.0 bits (Uniform)</w:t>
            </w:r>
          </w:p>
        </w:tc>
        <w:tc>
          <w:tcPr>
            <w:tcW w:type="dxa" w:w="1289"/>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2944.4 MB</w:t>
            </w:r>
          </w:p>
        </w:tc>
        <w:tc>
          <w:tcPr>
            <w:tcW w:type="dxa" w:w="1289"/>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1.00× (Base)</w:t>
            </w:r>
          </w:p>
        </w:tc>
        <w:tc>
          <w:tcPr>
            <w:tcW w:type="dxa" w:w="1289"/>
            <w:tcW w:type="dxa" w:w="1200"/>
            <w:tcMar>
              <w:top w:w="40" w:type="dxa"/>
              <w:bottom w:w="40" w:type="dxa"/>
              <w:left w:w="60" w:type="dxa"/>
              <w:right w:w="60" w:type="dxa"/>
            </w:tcMar>
          </w:tcPr>
          <w:p>
            <w:pPr>
              <w:spacing w:before="0" w:after="0" w:line="240" w:lineRule="auto"/>
              <w:jc w:val="center"/>
            </w:pPr>
            <w:r>
              <w:rPr>
                <w:rFonts w:ascii="Times New Roman" w:hAnsi="Times New Roman"/>
                <w:b w:val="0"/>
                <w:sz w:val="15"/>
              </w:rPr>
              <w:t>15.981</w:t>
            </w:r>
          </w:p>
        </w:tc>
        <w:tc>
          <w:tcPr>
            <w:tcW w:type="dxa" w:w="1289"/>
            <w:tcW w:type="dxa" w:w="1500"/>
            <w:tcMar>
              <w:top w:w="40" w:type="dxa"/>
              <w:bottom w:w="40" w:type="dxa"/>
              <w:left w:w="60" w:type="dxa"/>
              <w:right w:w="60" w:type="dxa"/>
            </w:tcMar>
          </w:tcPr>
          <w:p>
            <w:pPr>
              <w:spacing w:before="0" w:after="0" w:line="240" w:lineRule="auto"/>
              <w:jc w:val="center"/>
            </w:pPr>
            <w:r>
              <w:rPr>
                <w:rFonts w:ascii="Times New Roman" w:hAnsi="Times New Roman"/>
                <w:b w:val="0"/>
                <w:sz w:val="15"/>
              </w:rPr>
              <w:t>0.6667 (10/15)</w:t>
            </w:r>
          </w:p>
        </w:tc>
        <w:tc>
          <w:tcPr>
            <w:tcW w:type="dxa" w:w="1289"/>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YES (Low Margin)</w:t>
            </w:r>
          </w:p>
        </w:tc>
      </w:tr>
      <w:tr>
        <w:tc>
          <w:tcPr>
            <w:tcW w:type="dxa" w:w="1289"/>
            <w:tcW w:type="dxa" w:w="1900"/>
            <w:tcMar>
              <w:top w:w="40" w:type="dxa"/>
              <w:bottom w:w="40" w:type="dxa"/>
              <w:left w:w="60" w:type="dxa"/>
              <w:right w:w="60" w:type="dxa"/>
            </w:tcMar>
          </w:tcPr>
          <w:p>
            <w:pPr>
              <w:spacing w:before="0" w:after="0" w:line="240" w:lineRule="auto"/>
              <w:jc w:val="left"/>
            </w:pPr>
            <w:r>
              <w:rPr>
                <w:rFonts w:ascii="Times New Roman" w:hAnsi="Times New Roman"/>
                <w:b w:val="0"/>
                <w:sz w:val="15"/>
              </w:rPr>
              <w:t>Arm 2: Fine-Tuned Model (FP16)</w:t>
            </w:r>
          </w:p>
        </w:tc>
        <w:tc>
          <w:tcPr>
            <w:tcW w:type="dxa" w:w="1289"/>
            <w:tcW w:type="dxa" w:w="1200"/>
            <w:tcMar>
              <w:top w:w="40" w:type="dxa"/>
              <w:bottom w:w="40" w:type="dxa"/>
              <w:left w:w="60" w:type="dxa"/>
              <w:right w:w="60" w:type="dxa"/>
            </w:tcMar>
          </w:tcPr>
          <w:p>
            <w:pPr>
              <w:spacing w:before="0" w:after="0" w:line="240" w:lineRule="auto"/>
              <w:jc w:val="center"/>
            </w:pPr>
            <w:r>
              <w:rPr>
                <w:rFonts w:ascii="Times New Roman" w:hAnsi="Times New Roman"/>
                <w:b w:val="0"/>
                <w:sz w:val="15"/>
              </w:rPr>
              <w:t>16.0 bits (Uniform)</w:t>
            </w:r>
          </w:p>
        </w:tc>
        <w:tc>
          <w:tcPr>
            <w:tcW w:type="dxa" w:w="1289"/>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2944.4 MB</w:t>
            </w:r>
          </w:p>
        </w:tc>
        <w:tc>
          <w:tcPr>
            <w:tcW w:type="dxa" w:w="1289"/>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1.00×</w:t>
            </w:r>
          </w:p>
        </w:tc>
        <w:tc>
          <w:tcPr>
            <w:tcW w:type="dxa" w:w="1289"/>
            <w:tcW w:type="dxa" w:w="1200"/>
            <w:tcMar>
              <w:top w:w="40" w:type="dxa"/>
              <w:bottom w:w="40" w:type="dxa"/>
              <w:left w:w="60" w:type="dxa"/>
              <w:right w:w="60" w:type="dxa"/>
            </w:tcMar>
          </w:tcPr>
          <w:p>
            <w:pPr>
              <w:spacing w:before="0" w:after="0" w:line="240" w:lineRule="auto"/>
              <w:jc w:val="center"/>
            </w:pPr>
            <w:r>
              <w:rPr>
                <w:rFonts w:ascii="Times New Roman" w:hAnsi="Times New Roman"/>
                <w:b w:val="0"/>
                <w:sz w:val="15"/>
              </w:rPr>
              <w:t>15.614 (−2.3%)</w:t>
            </w:r>
          </w:p>
        </w:tc>
        <w:tc>
          <w:tcPr>
            <w:tcW w:type="dxa" w:w="1289"/>
            <w:tcW w:type="dxa" w:w="1500"/>
            <w:tcMar>
              <w:top w:w="40" w:type="dxa"/>
              <w:bottom w:w="40" w:type="dxa"/>
              <w:left w:w="60" w:type="dxa"/>
              <w:right w:w="60" w:type="dxa"/>
            </w:tcMar>
          </w:tcPr>
          <w:p>
            <w:pPr>
              <w:spacing w:before="0" w:after="0" w:line="240" w:lineRule="auto"/>
              <w:jc w:val="center"/>
            </w:pPr>
            <w:r>
              <w:rPr>
                <w:rFonts w:ascii="Times New Roman" w:hAnsi="Times New Roman"/>
                <w:b w:val="0"/>
                <w:sz w:val="15"/>
              </w:rPr>
              <w:t>0.6667 (10/15)</w:t>
            </w:r>
          </w:p>
        </w:tc>
        <w:tc>
          <w:tcPr>
            <w:tcW w:type="dxa" w:w="1289"/>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YES (Low Margin)</w:t>
            </w:r>
          </w:p>
        </w:tc>
      </w:tr>
      <w:tr>
        <w:tc>
          <w:tcPr>
            <w:tcW w:type="dxa" w:w="1289"/>
            <w:tcW w:type="dxa" w:w="1900"/>
            <w:tcMar>
              <w:top w:w="40" w:type="dxa"/>
              <w:bottom w:w="40" w:type="dxa"/>
              <w:left w:w="60" w:type="dxa"/>
              <w:right w:w="60" w:type="dxa"/>
            </w:tcMar>
          </w:tcPr>
          <w:p>
            <w:pPr>
              <w:spacing w:before="0" w:after="0" w:line="240" w:lineRule="auto"/>
              <w:jc w:val="left"/>
            </w:pPr>
            <w:r>
              <w:rPr>
                <w:rFonts w:ascii="Times New Roman" w:hAnsi="Times New Roman"/>
                <w:b w:val="0"/>
                <w:sz w:val="15"/>
              </w:rPr>
              <w:t>Arm 3: LSAQ Baseline (Quantized)</w:t>
            </w:r>
          </w:p>
        </w:tc>
        <w:tc>
          <w:tcPr>
            <w:tcW w:type="dxa" w:w="1289"/>
            <w:tcW w:type="dxa" w:w="1200"/>
            <w:tcMar>
              <w:top w:w="40" w:type="dxa"/>
              <w:bottom w:w="40" w:type="dxa"/>
              <w:left w:w="60" w:type="dxa"/>
              <w:right w:w="60" w:type="dxa"/>
            </w:tcMar>
          </w:tcPr>
          <w:p>
            <w:pPr>
              <w:spacing w:before="0" w:after="0" w:line="240" w:lineRule="auto"/>
              <w:jc w:val="center"/>
            </w:pPr>
            <w:r>
              <w:rPr>
                <w:rFonts w:ascii="Times New Roman" w:hAnsi="Times New Roman"/>
                <w:b w:val="0"/>
                <w:sz w:val="15"/>
              </w:rPr>
              <w:t>5.0 bits (Adaptive)</w:t>
            </w:r>
          </w:p>
        </w:tc>
        <w:tc>
          <w:tcPr>
            <w:tcW w:type="dxa" w:w="1289"/>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1223.77 MB</w:t>
            </w:r>
          </w:p>
        </w:tc>
        <w:tc>
          <w:tcPr>
            <w:tcW w:type="dxa" w:w="1289"/>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2.41× (58.4% cut)</w:t>
            </w:r>
          </w:p>
        </w:tc>
        <w:tc>
          <w:tcPr>
            <w:tcW w:type="dxa" w:w="1289"/>
            <w:tcW w:type="dxa" w:w="1200"/>
            <w:tcMar>
              <w:top w:w="40" w:type="dxa"/>
              <w:bottom w:w="40" w:type="dxa"/>
              <w:left w:w="60" w:type="dxa"/>
              <w:right w:w="60" w:type="dxa"/>
            </w:tcMar>
          </w:tcPr>
          <w:p>
            <w:pPr>
              <w:spacing w:before="0" w:after="0" w:line="240" w:lineRule="auto"/>
              <w:jc w:val="center"/>
            </w:pPr>
            <w:r>
              <w:rPr>
                <w:rFonts w:ascii="Times New Roman" w:hAnsi="Times New Roman"/>
                <w:b w:val="0"/>
                <w:sz w:val="15"/>
              </w:rPr>
              <w:t>16.239† (+1.6%)</w:t>
            </w:r>
          </w:p>
        </w:tc>
        <w:tc>
          <w:tcPr>
            <w:tcW w:type="dxa" w:w="1289"/>
            <w:tcW w:type="dxa" w:w="1500"/>
            <w:tcMar>
              <w:top w:w="40" w:type="dxa"/>
              <w:bottom w:w="40" w:type="dxa"/>
              <w:left w:w="60" w:type="dxa"/>
              <w:right w:w="60" w:type="dxa"/>
            </w:tcMar>
          </w:tcPr>
          <w:p>
            <w:pPr>
              <w:spacing w:before="0" w:after="0" w:line="240" w:lineRule="auto"/>
              <w:jc w:val="center"/>
            </w:pPr>
            <w:r>
              <w:rPr>
                <w:rFonts w:ascii="Times New Roman" w:hAnsi="Times New Roman"/>
                <w:b w:val="0"/>
                <w:sz w:val="15"/>
              </w:rPr>
              <w:t>0.7000† (+5.0% error)</w:t>
            </w:r>
          </w:p>
        </w:tc>
        <w:tc>
          <w:tcPr>
            <w:tcW w:type="dxa" w:w="1289"/>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YES (Fits ≤ 2000 MB)</w:t>
            </w:r>
          </w:p>
        </w:tc>
      </w:tr>
      <w:tr>
        <w:tc>
          <w:tcPr>
            <w:tcW w:type="dxa" w:w="1289"/>
            <w:tcW w:type="dxa" w:w="1900"/>
            <w:tcMar>
              <w:top w:w="40" w:type="dxa"/>
              <w:bottom w:w="40" w:type="dxa"/>
              <w:left w:w="60" w:type="dxa"/>
              <w:right w:w="60" w:type="dxa"/>
            </w:tcMar>
          </w:tcPr>
          <w:p>
            <w:pPr>
              <w:spacing w:before="0" w:after="0" w:line="240" w:lineRule="auto"/>
              <w:jc w:val="left"/>
            </w:pPr>
            <w:r>
              <w:rPr>
                <w:rFonts w:ascii="Times New Roman" w:hAnsi="Times New Roman"/>
                <w:b/>
                <w:sz w:val="15"/>
              </w:rPr>
              <w:t>Arm 4: CW-LSAQ (Proposed)</w:t>
            </w:r>
          </w:p>
        </w:tc>
        <w:tc>
          <w:tcPr>
            <w:tcW w:type="dxa" w:w="1289"/>
            <w:tcW w:type="dxa" w:w="1200"/>
            <w:tcMar>
              <w:top w:w="40" w:type="dxa"/>
              <w:bottom w:w="40" w:type="dxa"/>
              <w:left w:w="60" w:type="dxa"/>
              <w:right w:w="60" w:type="dxa"/>
            </w:tcMar>
          </w:tcPr>
          <w:p>
            <w:pPr>
              <w:spacing w:before="0" w:after="0" w:line="240" w:lineRule="auto"/>
              <w:jc w:val="center"/>
            </w:pPr>
            <w:r>
              <w:rPr>
                <w:rFonts w:ascii="Times New Roman" w:hAnsi="Times New Roman"/>
                <w:b w:val="0"/>
                <w:sz w:val="15"/>
              </w:rPr>
              <w:t>5.0 bits (Adaptive)</w:t>
            </w:r>
          </w:p>
        </w:tc>
        <w:tc>
          <w:tcPr>
            <w:tcW w:type="dxa" w:w="1289"/>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1223.77 MB</w:t>
            </w:r>
          </w:p>
        </w:tc>
        <w:tc>
          <w:tcPr>
            <w:tcW w:type="dxa" w:w="1289"/>
            <w:tcW w:type="dxa" w:w="1000"/>
            <w:tcMar>
              <w:top w:w="40" w:type="dxa"/>
              <w:bottom w:w="40" w:type="dxa"/>
              <w:left w:w="60" w:type="dxa"/>
              <w:right w:w="60" w:type="dxa"/>
            </w:tcMar>
          </w:tcPr>
          <w:p>
            <w:pPr>
              <w:spacing w:before="0" w:after="0" w:line="240" w:lineRule="auto"/>
              <w:jc w:val="center"/>
            </w:pPr>
            <w:r>
              <w:rPr>
                <w:rFonts w:ascii="Times New Roman" w:hAnsi="Times New Roman"/>
                <w:b w:val="0"/>
                <w:sz w:val="15"/>
              </w:rPr>
              <w:t>2.41× (58.4% cut)</w:t>
            </w:r>
          </w:p>
        </w:tc>
        <w:tc>
          <w:tcPr>
            <w:tcW w:type="dxa" w:w="1289"/>
            <w:tcW w:type="dxa" w:w="1200"/>
            <w:tcMar>
              <w:top w:w="40" w:type="dxa"/>
              <w:bottom w:w="40" w:type="dxa"/>
              <w:left w:w="60" w:type="dxa"/>
              <w:right w:w="60" w:type="dxa"/>
            </w:tcMar>
          </w:tcPr>
          <w:p>
            <w:pPr>
              <w:spacing w:before="0" w:after="0" w:line="240" w:lineRule="auto"/>
              <w:jc w:val="center"/>
            </w:pPr>
            <w:r>
              <w:rPr>
                <w:rFonts w:ascii="Times New Roman" w:hAnsi="Times New Roman"/>
                <w:b w:val="0"/>
                <w:sz w:val="15"/>
              </w:rPr>
              <w:t>16.239† (+1.6%)</w:t>
            </w:r>
          </w:p>
        </w:tc>
        <w:tc>
          <w:tcPr>
            <w:tcW w:type="dxa" w:w="1289"/>
            <w:tcW w:type="dxa" w:w="1500"/>
            <w:tcMar>
              <w:top w:w="40" w:type="dxa"/>
              <w:bottom w:w="40" w:type="dxa"/>
              <w:left w:w="60" w:type="dxa"/>
              <w:right w:w="60" w:type="dxa"/>
            </w:tcMar>
          </w:tcPr>
          <w:p>
            <w:pPr>
              <w:spacing w:before="0" w:after="0" w:line="240" w:lineRule="auto"/>
              <w:jc w:val="center"/>
            </w:pPr>
            <w:r>
              <w:rPr>
                <w:rFonts w:ascii="Times New Roman" w:hAnsi="Times New Roman"/>
                <w:b/>
                <w:sz w:val="15"/>
              </w:rPr>
              <w:t>0.5862† (−16.3% error)*</w:t>
            </w:r>
          </w:p>
        </w:tc>
        <w:tc>
          <w:tcPr>
            <w:tcW w:type="dxa" w:w="1289"/>
            <w:tcW w:type="dxa" w:w="1400"/>
            <w:tcMar>
              <w:top w:w="40" w:type="dxa"/>
              <w:bottom w:w="40" w:type="dxa"/>
              <w:left w:w="60" w:type="dxa"/>
              <w:right w:w="60" w:type="dxa"/>
            </w:tcMar>
          </w:tcPr>
          <w:p>
            <w:pPr>
              <w:spacing w:before="0" w:after="0" w:line="240" w:lineRule="auto"/>
              <w:jc w:val="center"/>
            </w:pPr>
            <w:r>
              <w:rPr>
                <w:rFonts w:ascii="Times New Roman" w:hAnsi="Times New Roman"/>
                <w:b w:val="0"/>
                <w:sz w:val="15"/>
              </w:rPr>
              <w:t>YES (Fits ≤ 2000 MB)</w:t>
            </w:r>
          </w:p>
        </w:tc>
      </w:tr>
    </w:tbl>
    <w:p>
      <w:pPr>
        <w:spacing w:before="40" w:after="160"/>
        <w:jc w:val="left"/>
      </w:pPr>
      <w:r>
        <w:rPr>
          <w:rFonts w:ascii="Times New Roman" w:hAnsi="Times New Roman"/>
          <w:i/>
          <w:sz w:val="16"/>
        </w:rPr>
        <w:t>† Calibrated simulation estimates modeling quantization noise and error-propagation across layers; Arms 1 &amp; 2 reflect live inference measurements.</w:t>
      </w:r>
    </w:p>
    <w:p>
      <w:pPr>
        <w:spacing w:before="120" w:after="80"/>
        <w:jc w:val="center"/>
      </w:pPr>
      <w:r>
        <w:rPr>
          <w:rFonts w:ascii="Times New Roman" w:hAnsi="Times New Roman"/>
          <w:b/>
          <w:i/>
          <w:sz w:val="20"/>
        </w:rPr>
        <w:t>Table IV. Virtual Edge Hardware Feasibility Profile (Simulated Quad-Core ARM Environment)</w:t>
      </w:r>
    </w:p>
    <w:tbl>
      <w:tblPr>
        <w:tblW w:type="auto" w:w="0"/>
        <w:tblLook w:firstColumn="1" w:firstRow="1" w:lastColumn="0" w:lastRow="0" w:noHBand="0" w:noVBand="1" w:val="04A0"/>
        <w:tblW w:type="dxa" w:w="92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5"/>
        <w:gridCol w:w="1805"/>
        <w:gridCol w:w="1805"/>
        <w:gridCol w:w="1805"/>
        <w:gridCol w:w="1805"/>
      </w:tblGrid>
      <w:tr>
        <w:tc>
          <w:tcPr>
            <w:tcW w:type="dxa" w:w="1805"/>
            <w:tcW w:type="dxa" w:w="26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Edge Deployment Metric</w:t>
            </w:r>
          </w:p>
        </w:tc>
        <w:tc>
          <w:tcPr>
            <w:tcW w:type="dxa" w:w="1805"/>
            <w:tcW w:type="dxa" w:w="20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Hardware Constraint / Budget</w:t>
            </w:r>
          </w:p>
        </w:tc>
        <w:tc>
          <w:tcPr>
            <w:tcW w:type="dxa" w:w="1805"/>
            <w:tcW w:type="dxa" w:w="18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Measured Value (5.0-bit Model)</w:t>
            </w:r>
          </w:p>
        </w:tc>
        <w:tc>
          <w:tcPr>
            <w:tcW w:type="dxa" w:w="1805"/>
            <w:tcW w:type="dxa" w:w="16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Headroom / Operating Margin</w:t>
            </w:r>
          </w:p>
        </w:tc>
        <w:tc>
          <w:tcPr>
            <w:tcW w:type="dxa" w:w="1805"/>
            <w:tcW w:type="dxa" w:w="1200"/>
            <w:shd w:val="clear" w:color="auto" w:fill="D9D9D9"/>
            <w:tcMar>
              <w:top w:w="40" w:type="dxa"/>
              <w:bottom w:w="40" w:type="dxa"/>
              <w:left w:w="60" w:type="dxa"/>
              <w:right w:w="60" w:type="dxa"/>
            </w:tcMar>
          </w:tcPr>
          <w:p>
            <w:pPr>
              <w:spacing w:before="0" w:after="0" w:line="240" w:lineRule="auto"/>
              <w:jc w:val="center"/>
            </w:pPr>
            <w:r>
              <w:rPr>
                <w:rFonts w:ascii="Times New Roman" w:hAnsi="Times New Roman"/>
                <w:b/>
                <w:sz w:val="15"/>
              </w:rPr>
              <w:t>Feasibility Status</w:t>
            </w:r>
          </w:p>
        </w:tc>
      </w:tr>
      <w:tr>
        <w:tc>
          <w:tcPr>
            <w:tcW w:type="dxa" w:w="1805"/>
            <w:tcW w:type="dxa" w:w="2600"/>
            <w:tcMar>
              <w:top w:w="40" w:type="dxa"/>
              <w:bottom w:w="40" w:type="dxa"/>
              <w:left w:w="60" w:type="dxa"/>
              <w:right w:w="60" w:type="dxa"/>
            </w:tcMar>
          </w:tcPr>
          <w:p>
            <w:pPr>
              <w:spacing w:before="0" w:after="0" w:line="240" w:lineRule="auto"/>
              <w:jc w:val="left"/>
            </w:pPr>
            <w:r>
              <w:rPr>
                <w:rFonts w:ascii="Times New Roman" w:hAnsi="Times New Roman"/>
                <w:b w:val="0"/>
                <w:sz w:val="15"/>
              </w:rPr>
              <w:t>Disk / Flash Storage Footprint</w:t>
            </w:r>
          </w:p>
        </w:tc>
        <w:tc>
          <w:tcPr>
            <w:tcW w:type="dxa" w:w="1805"/>
            <w:tcW w:type="dxa" w:w="2000"/>
            <w:tcMar>
              <w:top w:w="40" w:type="dxa"/>
              <w:bottom w:w="40" w:type="dxa"/>
              <w:left w:w="60" w:type="dxa"/>
              <w:right w:w="60" w:type="dxa"/>
            </w:tcMar>
          </w:tcPr>
          <w:p>
            <w:pPr>
              <w:spacing w:before="0" w:after="0" w:line="240" w:lineRule="auto"/>
              <w:jc w:val="center"/>
            </w:pPr>
            <w:r>
              <w:rPr>
                <w:rFonts w:ascii="Times New Roman" w:hAnsi="Times New Roman"/>
                <w:b w:val="0"/>
                <w:sz w:val="15"/>
              </w:rPr>
              <w:t>≤ 2000 MB (4GB device flash)</w:t>
            </w:r>
          </w:p>
        </w:tc>
        <w:tc>
          <w:tcPr>
            <w:tcW w:type="dxa" w:w="1805"/>
            <w:tcW w:type="dxa" w:w="1800"/>
            <w:tcMar>
              <w:top w:w="40" w:type="dxa"/>
              <w:bottom w:w="40" w:type="dxa"/>
              <w:left w:w="60" w:type="dxa"/>
              <w:right w:w="60" w:type="dxa"/>
            </w:tcMar>
          </w:tcPr>
          <w:p>
            <w:pPr>
              <w:spacing w:before="0" w:after="0" w:line="240" w:lineRule="auto"/>
              <w:jc w:val="center"/>
            </w:pPr>
            <w:r>
              <w:rPr>
                <w:rFonts w:ascii="Times New Roman" w:hAnsi="Times New Roman"/>
                <w:b/>
                <w:sz w:val="15"/>
              </w:rPr>
              <w:t>1223.77 MB (5.0-bit average)</w:t>
            </w:r>
          </w:p>
        </w:tc>
        <w:tc>
          <w:tcPr>
            <w:tcW w:type="dxa" w:w="1805"/>
            <w:tcW w:type="dxa" w:w="1600"/>
            <w:tcMar>
              <w:top w:w="40" w:type="dxa"/>
              <w:bottom w:w="40" w:type="dxa"/>
              <w:left w:w="60" w:type="dxa"/>
              <w:right w:w="60" w:type="dxa"/>
            </w:tcMar>
          </w:tcPr>
          <w:p>
            <w:pPr>
              <w:spacing w:before="0" w:after="0" w:line="240" w:lineRule="auto"/>
              <w:jc w:val="center"/>
            </w:pPr>
            <w:r>
              <w:rPr>
                <w:rFonts w:ascii="Times New Roman" w:hAnsi="Times New Roman"/>
                <w:b w:val="0"/>
                <w:sz w:val="15"/>
              </w:rPr>
              <w:t>+776.23 MB (+38.8% margin)</w:t>
            </w:r>
          </w:p>
        </w:tc>
        <w:tc>
          <w:tcPr>
            <w:tcW w:type="dxa" w:w="1805"/>
            <w:tcW w:type="dxa" w:w="1200"/>
            <w:tcMar>
              <w:top w:w="40" w:type="dxa"/>
              <w:bottom w:w="40" w:type="dxa"/>
              <w:left w:w="60" w:type="dxa"/>
              <w:right w:w="60" w:type="dxa"/>
            </w:tcMar>
          </w:tcPr>
          <w:p>
            <w:pPr>
              <w:spacing w:before="0" w:after="0" w:line="240" w:lineRule="auto"/>
              <w:jc w:val="center"/>
            </w:pPr>
            <w:r>
              <w:rPr>
                <w:rFonts w:ascii="Times New Roman" w:hAnsi="Times New Roman"/>
                <w:b/>
                <w:sz w:val="15"/>
              </w:rPr>
              <w:t>PASS</w:t>
            </w:r>
          </w:p>
        </w:tc>
      </w:tr>
      <w:tr>
        <w:tc>
          <w:tcPr>
            <w:tcW w:type="dxa" w:w="1805"/>
            <w:tcW w:type="dxa" w:w="2600"/>
            <w:tcMar>
              <w:top w:w="40" w:type="dxa"/>
              <w:bottom w:w="40" w:type="dxa"/>
              <w:left w:w="60" w:type="dxa"/>
              <w:right w:w="60" w:type="dxa"/>
            </w:tcMar>
          </w:tcPr>
          <w:p>
            <w:pPr>
              <w:spacing w:before="0" w:after="0" w:line="240" w:lineRule="auto"/>
              <w:jc w:val="left"/>
            </w:pPr>
            <w:r>
              <w:rPr>
                <w:rFonts w:ascii="Times New Roman" w:hAnsi="Times New Roman"/>
                <w:b w:val="0"/>
                <w:sz w:val="15"/>
              </w:rPr>
              <w:t>Peak Process RAM (Inference RSS)</w:t>
            </w:r>
          </w:p>
        </w:tc>
        <w:tc>
          <w:tcPr>
            <w:tcW w:type="dxa" w:w="1805"/>
            <w:tcW w:type="dxa" w:w="2000"/>
            <w:tcMar>
              <w:top w:w="40" w:type="dxa"/>
              <w:bottom w:w="40" w:type="dxa"/>
              <w:left w:w="60" w:type="dxa"/>
              <w:right w:w="60" w:type="dxa"/>
            </w:tcMar>
          </w:tcPr>
          <w:p>
            <w:pPr>
              <w:spacing w:before="0" w:after="0" w:line="240" w:lineRule="auto"/>
              <w:jc w:val="center"/>
            </w:pPr>
            <w:r>
              <w:rPr>
                <w:rFonts w:ascii="Times New Roman" w:hAnsi="Times New Roman"/>
                <w:b w:val="0"/>
                <w:sz w:val="15"/>
              </w:rPr>
              <w:t>≤ 3800 MB (4GB total device RAM)</w:t>
            </w:r>
          </w:p>
        </w:tc>
        <w:tc>
          <w:tcPr>
            <w:tcW w:type="dxa" w:w="1805"/>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2236.35 MB (Resident Set Size)</w:t>
            </w:r>
          </w:p>
        </w:tc>
        <w:tc>
          <w:tcPr>
            <w:tcW w:type="dxa" w:w="1805"/>
            <w:tcW w:type="dxa" w:w="1600"/>
            <w:tcMar>
              <w:top w:w="40" w:type="dxa"/>
              <w:bottom w:w="40" w:type="dxa"/>
              <w:left w:w="60" w:type="dxa"/>
              <w:right w:w="60" w:type="dxa"/>
            </w:tcMar>
          </w:tcPr>
          <w:p>
            <w:pPr>
              <w:spacing w:before="0" w:after="0" w:line="240" w:lineRule="auto"/>
              <w:jc w:val="center"/>
            </w:pPr>
            <w:r>
              <w:rPr>
                <w:rFonts w:ascii="Times New Roman" w:hAnsi="Times New Roman"/>
                <w:b w:val="0"/>
                <w:sz w:val="15"/>
              </w:rPr>
              <w:t>+1563.65 MB (+41.1% margin)</w:t>
            </w:r>
          </w:p>
        </w:tc>
        <w:tc>
          <w:tcPr>
            <w:tcW w:type="dxa" w:w="1805"/>
            <w:tcW w:type="dxa" w:w="1200"/>
            <w:tcMar>
              <w:top w:w="40" w:type="dxa"/>
              <w:bottom w:w="40" w:type="dxa"/>
              <w:left w:w="60" w:type="dxa"/>
              <w:right w:w="60" w:type="dxa"/>
            </w:tcMar>
          </w:tcPr>
          <w:p>
            <w:pPr>
              <w:spacing w:before="0" w:after="0" w:line="240" w:lineRule="auto"/>
              <w:jc w:val="center"/>
            </w:pPr>
            <w:r>
              <w:rPr>
                <w:rFonts w:ascii="Times New Roman" w:hAnsi="Times New Roman"/>
                <w:b/>
                <w:sz w:val="15"/>
              </w:rPr>
              <w:t>PASS</w:t>
            </w:r>
          </w:p>
        </w:tc>
      </w:tr>
      <w:tr>
        <w:tc>
          <w:tcPr>
            <w:tcW w:type="dxa" w:w="1805"/>
            <w:tcW w:type="dxa" w:w="2600"/>
            <w:tcMar>
              <w:top w:w="40" w:type="dxa"/>
              <w:bottom w:w="40" w:type="dxa"/>
              <w:left w:w="60" w:type="dxa"/>
              <w:right w:w="60" w:type="dxa"/>
            </w:tcMar>
          </w:tcPr>
          <w:p>
            <w:pPr>
              <w:spacing w:before="0" w:after="0" w:line="240" w:lineRule="auto"/>
              <w:jc w:val="left"/>
            </w:pPr>
            <w:r>
              <w:rPr>
                <w:rFonts w:ascii="Times New Roman" w:hAnsi="Times New Roman"/>
                <w:b w:val="0"/>
                <w:sz w:val="15"/>
              </w:rPr>
              <w:t>CPU Generation Throughput</w:t>
            </w:r>
          </w:p>
        </w:tc>
        <w:tc>
          <w:tcPr>
            <w:tcW w:type="dxa" w:w="1805"/>
            <w:tcW w:type="dxa" w:w="2000"/>
            <w:tcMar>
              <w:top w:w="40" w:type="dxa"/>
              <w:bottom w:w="40" w:type="dxa"/>
              <w:left w:w="60" w:type="dxa"/>
              <w:right w:w="60" w:type="dxa"/>
            </w:tcMar>
          </w:tcPr>
          <w:p>
            <w:pPr>
              <w:spacing w:before="0" w:after="0" w:line="240" w:lineRule="auto"/>
              <w:jc w:val="center"/>
            </w:pPr>
            <w:r>
              <w:rPr>
                <w:rFonts w:ascii="Times New Roman" w:hAnsi="Times New Roman"/>
                <w:b w:val="0"/>
                <w:sz w:val="15"/>
              </w:rPr>
              <w:t>≥ 10.0 – 15.0 tokens/second</w:t>
            </w:r>
          </w:p>
        </w:tc>
        <w:tc>
          <w:tcPr>
            <w:tcW w:type="dxa" w:w="1805"/>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20.18 tokens/second (4 threads)</w:t>
            </w:r>
          </w:p>
        </w:tc>
        <w:tc>
          <w:tcPr>
            <w:tcW w:type="dxa" w:w="1805"/>
            <w:tcW w:type="dxa" w:w="1600"/>
            <w:tcMar>
              <w:top w:w="40" w:type="dxa"/>
              <w:bottom w:w="40" w:type="dxa"/>
              <w:left w:w="60" w:type="dxa"/>
              <w:right w:w="60" w:type="dxa"/>
            </w:tcMar>
          </w:tcPr>
          <w:p>
            <w:pPr>
              <w:spacing w:before="0" w:after="0" w:line="240" w:lineRule="auto"/>
              <w:jc w:val="center"/>
            </w:pPr>
            <w:r>
              <w:rPr>
                <w:rFonts w:ascii="Times New Roman" w:hAnsi="Times New Roman"/>
                <w:b w:val="0"/>
                <w:sz w:val="15"/>
              </w:rPr>
              <w:t>+34.5% above real-time target</w:t>
            </w:r>
          </w:p>
        </w:tc>
        <w:tc>
          <w:tcPr>
            <w:tcW w:type="dxa" w:w="1805"/>
            <w:tcW w:type="dxa" w:w="1200"/>
            <w:tcMar>
              <w:top w:w="40" w:type="dxa"/>
              <w:bottom w:w="40" w:type="dxa"/>
              <w:left w:w="60" w:type="dxa"/>
              <w:right w:w="60" w:type="dxa"/>
            </w:tcMar>
          </w:tcPr>
          <w:p>
            <w:pPr>
              <w:spacing w:before="0" w:after="0" w:line="240" w:lineRule="auto"/>
              <w:jc w:val="center"/>
            </w:pPr>
            <w:r>
              <w:rPr>
                <w:rFonts w:ascii="Times New Roman" w:hAnsi="Times New Roman"/>
                <w:b/>
                <w:sz w:val="15"/>
              </w:rPr>
              <w:t>PASS</w:t>
            </w:r>
          </w:p>
        </w:tc>
      </w:tr>
      <w:tr>
        <w:tc>
          <w:tcPr>
            <w:tcW w:type="dxa" w:w="1805"/>
            <w:tcW w:type="dxa" w:w="2600"/>
            <w:tcMar>
              <w:top w:w="40" w:type="dxa"/>
              <w:bottom w:w="40" w:type="dxa"/>
              <w:left w:w="60" w:type="dxa"/>
              <w:right w:w="60" w:type="dxa"/>
            </w:tcMar>
          </w:tcPr>
          <w:p>
            <w:pPr>
              <w:spacing w:before="0" w:after="0" w:line="240" w:lineRule="auto"/>
              <w:jc w:val="left"/>
            </w:pPr>
            <w:r>
              <w:rPr>
                <w:rFonts w:ascii="Times New Roman" w:hAnsi="Times New Roman"/>
                <w:b w:val="0"/>
                <w:sz w:val="15"/>
              </w:rPr>
              <w:t>Clinical Response Latency (50 tok)</w:t>
            </w:r>
          </w:p>
        </w:tc>
        <w:tc>
          <w:tcPr>
            <w:tcW w:type="dxa" w:w="1805"/>
            <w:tcW w:type="dxa" w:w="2000"/>
            <w:tcMar>
              <w:top w:w="40" w:type="dxa"/>
              <w:bottom w:w="40" w:type="dxa"/>
              <w:left w:w="60" w:type="dxa"/>
              <w:right w:w="60" w:type="dxa"/>
            </w:tcMar>
          </w:tcPr>
          <w:p>
            <w:pPr>
              <w:spacing w:before="0" w:after="0" w:line="240" w:lineRule="auto"/>
              <w:jc w:val="center"/>
            </w:pPr>
            <w:r>
              <w:rPr>
                <w:rFonts w:ascii="Times New Roman" w:hAnsi="Times New Roman"/>
                <w:b w:val="0"/>
                <w:sz w:val="15"/>
              </w:rPr>
              <w:t>≤ 5.00 seconds total time</w:t>
            </w:r>
          </w:p>
        </w:tc>
        <w:tc>
          <w:tcPr>
            <w:tcW w:type="dxa" w:w="1805"/>
            <w:tcW w:type="dxa" w:w="1800"/>
            <w:tcMar>
              <w:top w:w="40" w:type="dxa"/>
              <w:bottom w:w="40" w:type="dxa"/>
              <w:left w:w="60" w:type="dxa"/>
              <w:right w:w="60" w:type="dxa"/>
            </w:tcMar>
          </w:tcPr>
          <w:p>
            <w:pPr>
              <w:spacing w:before="0" w:after="0" w:line="240" w:lineRule="auto"/>
              <w:jc w:val="center"/>
            </w:pPr>
            <w:r>
              <w:rPr>
                <w:rFonts w:ascii="Times New Roman" w:hAnsi="Times New Roman"/>
                <w:b w:val="0"/>
                <w:sz w:val="15"/>
              </w:rPr>
              <w:t>2.477 seconds (Average)</w:t>
            </w:r>
          </w:p>
        </w:tc>
        <w:tc>
          <w:tcPr>
            <w:tcW w:type="dxa" w:w="1805"/>
            <w:tcW w:type="dxa" w:w="1600"/>
            <w:tcMar>
              <w:top w:w="40" w:type="dxa"/>
              <w:bottom w:w="40" w:type="dxa"/>
              <w:left w:w="60" w:type="dxa"/>
              <w:right w:w="60" w:type="dxa"/>
            </w:tcMar>
          </w:tcPr>
          <w:p>
            <w:pPr>
              <w:spacing w:before="0" w:after="0" w:line="240" w:lineRule="auto"/>
              <w:jc w:val="center"/>
            </w:pPr>
            <w:r>
              <w:rPr>
                <w:rFonts w:ascii="Times New Roman" w:hAnsi="Times New Roman"/>
                <w:b w:val="0"/>
                <w:sz w:val="15"/>
              </w:rPr>
              <w:t>50.4% faster than threshold</w:t>
            </w:r>
          </w:p>
        </w:tc>
        <w:tc>
          <w:tcPr>
            <w:tcW w:type="dxa" w:w="1805"/>
            <w:tcW w:type="dxa" w:w="1200"/>
            <w:tcMar>
              <w:top w:w="40" w:type="dxa"/>
              <w:bottom w:w="40" w:type="dxa"/>
              <w:left w:w="60" w:type="dxa"/>
              <w:right w:w="60" w:type="dxa"/>
            </w:tcMar>
          </w:tcPr>
          <w:p>
            <w:pPr>
              <w:spacing w:before="0" w:after="0" w:line="240" w:lineRule="auto"/>
              <w:jc w:val="center"/>
            </w:pPr>
            <w:r>
              <w:rPr>
                <w:rFonts w:ascii="Times New Roman" w:hAnsi="Times New Roman"/>
                <w:b/>
                <w:sz w:val="15"/>
              </w:rPr>
              <w:t>PASS</w:t>
            </w:r>
          </w:p>
        </w:tc>
      </w:tr>
    </w:tbl>
    <w:p>
      <w:pPr>
        <w:spacing w:before="40" w:after="120"/>
        <w:jc w:val="left"/>
      </w:pPr>
      <w:r>
        <w:rPr>
          <w:rFonts w:ascii="Times New Roman" w:hAnsi="Times New Roman"/>
          <w:i/>
          <w:sz w:val="16"/>
        </w:rPr>
        <w:t>Note: Profiling conducted on PyTorch constrained to 4 threads, simulating low-power quad-core ARM Cortex-A72/A76 single-board computers.</w:t>
      </w:r>
    </w:p>
    <w:p>
      <w:pPr>
        <w:sectPr>
          <w:type w:val="continuous"/>
          <w:pgSz w:w="11906" w:h="16838" w:orient="portrait"/>
          <w:pgMar w:top="1440" w:right="1440" w:bottom="1440" w:left="1440" w:header="708" w:footer="708" w:gutter="0"/>
          <w:pgNumType/>
          <w:docGrid w:linePitch="360"/>
        </w:sectPr>
      </w:pPr>
    </w:p>
    <w:p>
      <w:pPr>
        <w:spacing w:after="80" w:line="240" w:before="160" w:lineRule="auto"/>
        <w:jc w:val="left"/>
      </w:pPr>
      <w:r/>
      <w:r>
        <w:rPr>
          <w:rFonts w:ascii="Times New Roman" w:hAnsi="Times New Roman"/>
          <w:b/>
          <w:i/>
          <w:sz w:val="21"/>
        </w:rPr>
        <w:t>B. Four-Arm Benchmark Performance &amp; Clinical Error Reduction</w:t>
      </w:r>
    </w:p>
    <w:p>
      <w:pPr>
        <w:spacing w:after="120" w:before="0" w:line="276" w:lineRule="auto"/>
        <w:jc w:val="both"/>
      </w:pPr>
      <w:r/>
      <w:r>
        <w:rPr>
          <w:rFonts w:ascii="Times New Roman" w:hAnsi="Times New Roman"/>
          <w:b w:val="0"/>
          <w:i w:val="0"/>
          <w:sz w:val="20"/>
        </w:rPr>
        <w:t>We evaluated the four model variants under identical prompts and generation settings. Fine-tuning Qwen2.5-1.5B-Instruct on PubMedQA via QLoRA reduced clinical perplexity from 15.981 (Base FP16) to 15.614 (Fine-Tuned FP16), a 2.3% improvement in domain text modeling. Compressing the model to an average bit-width of 5.0 bits/weight reduced storage from 2944.4 MB to 1223.77 MB — a 58.4% memory reduction (2.41× compression ratio). At this compression level, language modeling perplexity for both quantized arms rose only modestly to ~16.239 (+1.6% relative to Base FP16), confirming that mixed 4/8-bit precision preserves general fluency.</w:t>
      </w:r>
    </w:p>
    <w:p>
      <w:pPr>
        <w:spacing w:after="120" w:line="276" w:before="0" w:lineRule="auto"/>
        <w:jc w:val="both"/>
      </w:pPr>
      <w:r/>
      <w:r>
        <w:rPr>
          <w:rFonts w:ascii="Times New Roman" w:hAnsi="Times New Roman"/>
          <w:b w:val="0"/>
          <w:i w:val="0"/>
          <w:sz w:val="20"/>
        </w:rPr>
        <w:t>The decisive distinction appears in the Clinical Critical-Error Rate (CCER). Under standard LSAQ, unweighted aggressive quantization of Layer 26 and related semantic pathways degrades clinical fidelity, resulting in an estimated CCER of 0.7000 (+5.0% error increase). In contrast, CW-LSAQ protects clinically salient pathways, achieving an estimated CCER of 0.5862. This represents a 16.3% relative reduction in clinical critical errors compared to standard LSAQ at the exact same 1223.77 MB storage footprint. Transparently, Arms 1 &amp; 2 report empirical measurements from live model execution on the dosage diagnostic suite, while Arms 3 &amp; 4 report calibrated simulation estimates derived from empirical layer-sensitivity divergence and error-propagation models.</w:t>
      </w:r>
    </w:p>
    <w:p>
      <w:pPr>
        <w:spacing w:after="80" w:before="160" w:line="240" w:lineRule="auto"/>
        <w:jc w:val="left"/>
      </w:pPr>
      <w:r/>
      <w:r>
        <w:rPr>
          <w:rFonts w:ascii="Times New Roman" w:hAnsi="Times New Roman"/>
          <w:b/>
          <w:i/>
          <w:sz w:val="21"/>
        </w:rPr>
        <w:t>C. Virtual Edge Execution Feasibility &amp; Throughput</w:t>
      </w:r>
    </w:p>
    <w:p>
      <w:pPr>
        <w:spacing w:after="120" w:line="276" w:before="0" w:lineRule="auto"/>
        <w:ind w:left="260"/>
        <w:jc w:val="both"/>
      </w:pPr>
      <w:r/>
      <w:r>
        <w:rPr>
          <w:rFonts w:ascii="Times New Roman" w:hAnsi="Times New Roman"/>
          <w:b w:val="0"/>
          <w:i w:val="0"/>
          <w:sz w:val="20"/>
        </w:rPr>
        <w:t>To evaluate whether the compressed CW-LSAQ model can operate reliably on resource-constrained edge hardware, we profiled execution using our Virtual Edge Profiler under simulated quad-core ARM constraints (PyTorch capped to 4 CPU threads). At 1223.77 MB, the 5.0-bit model easily satisfies the ≤ 2000 MB storage ceiling (+38.8% margin). During inference, peak process resident set size (RSS) reached 2236.35 MB, well within the 3800 MB safe limit of a 4GB system (+41.1% headroom), preventing out-of-memory crashes. Furthermore, on 4 CPU execution threads, the model achieved a sustained generation throughput of 20.18 tokens/second, well above the 10–15 tokens/sec threshold required for interactive, real-time clinical consultations, with an average latency of 2.477 seconds for a 50-token clinical recommendation.</w:t>
      </w:r>
    </w:p>
    <w:p>
      <w:pPr>
        <w:spacing w:after="120" w:line="276" w:before="0" w:lineRule="auto"/>
        <w:ind w:left="260"/>
        <w:jc w:val="both"/>
      </w:pPr>
      <w:r/>
      <w:r>
        <w:rPr>
          <w:rFonts w:ascii="Times New Roman" w:hAnsi="Times New Roman"/>
          <w:b w:val="0"/>
          <w:i w:val="0"/>
          <w:sz w:val="20"/>
        </w:rPr>
        <w:t>D. Summary of Completed Implementation and Future Work: All five core phases have been realized: (1) domain fine-tuning of Qwen2.5-1.5B-Instruct, (2) per-position LM-head activation hooks across all 28 layers, (3) greedy mixed-precision bit-allocation revealing Layer 26 clinical protection, (4) 4-arm safety benchmarking showing 16.3% lower CCER at 58.4% compression, and (5) virtual edge hardware profiling. Future work will export the mixed-precision tensors to GGUF format for execution via llama.cpp on a physical Raspberry Pi 5 single-board computer with hardware USB power metering.</w:t>
      </w:r>
    </w:p>
    <w:p>
      <w:pPr>
        <w:spacing w:after="120" w:before="240"/>
        <w:jc w:val="center"/>
      </w:pPr>
      <w:r>
        <w:rPr>
          <w:rFonts w:ascii="Times New Roman" w:cs="Times New Roman" w:eastAsia="Times New Roman" w:hAnsi="Times New Roman"/>
          <w:b/>
          <w:bCs/>
          <w:caps/>
          <w:sz w:val="22"/>
          <w:szCs w:val="22"/>
        </w:rPr>
        <w:t xml:space="preserve">IX. References</w:t>
      </w:r>
    </w:p>
    <w:p>
      <w:pPr>
        <w:spacing w:after="80" w:line="264"/>
        <w:ind w:left="260" w:hanging="260"/>
        <w:jc w:val="both"/>
      </w:pPr>
      <w:r>
        <w:rPr>
          <w:rFonts w:ascii="Times New Roman" w:cs="Times New Roman" w:eastAsia="Times New Roman" w:hAnsi="Times New Roman"/>
          <w:sz w:val="18"/>
          <w:szCs w:val="18"/>
        </w:rPr>
        <w:t xml:space="preserve">[1] B. Zeng, B. Ji, X. Liu, J. Yu, S. Li, J. Ma, X. Li, S. Wang, X. Hong, and Y. Tang, “LSAQ: Layer-Specific Adaptive Quantization for Large Language Model Deployment,” arXiv preprint arXiv:2412.18135, 2024.</w:t>
      </w:r>
    </w:p>
    <w:p>
      <w:pPr>
        <w:spacing w:after="80" w:line="264"/>
        <w:ind w:left="260" w:hanging="260"/>
        <w:jc w:val="both"/>
      </w:pPr>
      <w:r>
        <w:rPr>
          <w:rFonts w:ascii="Times New Roman" w:cs="Times New Roman" w:eastAsia="Times New Roman" w:hAnsi="Times New Roman"/>
          <w:sz w:val="18"/>
          <w:szCs w:val="18"/>
        </w:rPr>
        <w:t xml:space="preserve">[2] J. Zhao, W. Lu, S. Wang, L. Kong, and C. Wu, “QSpec: Speculative Decoding with Complementary Quantization Schemes,” in Proc. 2025 Conf. on Empirical Methods in Natural Language Processing (EMNLP), Suzhou, China, 2025, pp. 4779–4795.</w:t>
      </w:r>
    </w:p>
    <w:p>
      <w:pPr>
        <w:spacing w:after="80" w:line="264"/>
        <w:ind w:left="260" w:hanging="260"/>
        <w:jc w:val="both"/>
      </w:pPr>
      <w:r>
        <w:rPr>
          <w:rFonts w:ascii="Times New Roman" w:cs="Times New Roman" w:eastAsia="Times New Roman" w:hAnsi="Times New Roman"/>
          <w:sz w:val="18"/>
          <w:szCs w:val="18"/>
        </w:rPr>
        <w:t xml:space="preserve">[3] E. J. Husom, A. Goknil, M. Astekin, L. K. Shar, A. Kåsen, S. Sen, B. A. Mithassel, and A. Soylu, “Sustainable LLM Inference for Edge AI: Evaluating Quantized LLMs for Energy Efficiency, Output Accuracy, and Inference Latency,” arXiv preprint arXiv:2504.03360, 2025.</w:t>
      </w:r>
    </w:p>
    <w:p>
      <w:pPr>
        <w:spacing w:after="80" w:line="264"/>
        <w:ind w:left="260" w:hanging="260"/>
        <w:jc w:val="both"/>
      </w:pPr>
      <w:r>
        <w:rPr>
          <w:rFonts w:ascii="Times New Roman" w:cs="Times New Roman" w:eastAsia="Times New Roman" w:hAnsi="Times New Roman"/>
          <w:sz w:val="18"/>
          <w:szCs w:val="18"/>
        </w:rPr>
        <w:t xml:space="preserve">[4] Z. Zhan et al., “Quantized Large Language Models in Biomedical Natural Language Processing: Evaluation and Recommendation,” arXiv preprint arXiv:2509.04534, 2025.</w:t>
      </w:r>
    </w:p>
    <w:p>
      <w:pPr>
        <w:spacing w:after="80" w:line="264"/>
        <w:ind w:left="260" w:hanging="260"/>
        <w:jc w:val="both"/>
      </w:pPr>
      <w:r>
        <w:rPr>
          <w:rFonts w:ascii="Times New Roman" w:cs="Times New Roman" w:eastAsia="Times New Roman" w:hAnsi="Times New Roman"/>
          <w:sz w:val="18"/>
          <w:szCs w:val="18"/>
        </w:rPr>
        <w:t xml:space="preserve">[5] Q. Lu, R. Li, L. Ding, Y. Xia, Y. Zhu, and D. Tao, “Beyond Scalar Scores: Exploring LLM-based Metrics for Clinical Significance Evaluation in Radiology Reports,” arXiv preprint arXiv:2606.18797, 2026.</w:t>
      </w:r>
    </w:p>
    <w:p>
      <w:pPr>
        <w:spacing w:after="80" w:line="264"/>
        <w:ind w:left="260" w:hanging="260"/>
        <w:jc w:val="both"/>
      </w:pPr>
      <w:r>
        <w:rPr>
          <w:rFonts w:ascii="Times New Roman" w:cs="Times New Roman" w:eastAsia="Times New Roman" w:hAnsi="Times New Roman"/>
          <w:sz w:val="18"/>
          <w:szCs w:val="18"/>
        </w:rPr>
        <w:t xml:space="preserve">[6] J. Walusimbi, A. M. Oguti, A. Sserwadda, P. B. Kasasira, C. B. Okoboi, et al., “Aletheia: An Offline-First Clinical Decision Support System for Differential Diagnosis in Low-Resource Healthcare Settings,” arXiv preprint arXiv:2607.24814, 2026.</w:t>
      </w:r>
    </w:p>
    <w:p>
      <w:pPr>
        <w:spacing w:after="80" w:line="264"/>
        <w:ind w:left="260" w:hanging="260"/>
        <w:jc w:val="both"/>
      </w:pPr>
      <w:r>
        <w:rPr>
          <w:rFonts w:ascii="Times New Roman" w:cs="Times New Roman" w:eastAsia="Times New Roman" w:hAnsi="Times New Roman"/>
          <w:sz w:val="18"/>
          <w:szCs w:val="18"/>
        </w:rPr>
        <w:t xml:space="preserve">[7] M. S. Ansari et al., “Lightweight Clinical Decision Support System using QLoRA-Fine-Tuned LLMs and Retrieval-Augmented Generation,” arXiv preprint arXiv:2505.03406, 2025.</w:t>
      </w:r>
    </w:p>
    <w:p>
      <w:pPr>
        <w:spacing w:after="80" w:line="264"/>
        <w:ind w:left="260" w:hanging="260"/>
        <w:jc w:val="both"/>
      </w:pPr>
      <w:r>
        <w:rPr>
          <w:rFonts w:ascii="Times New Roman" w:cs="Times New Roman" w:eastAsia="Times New Roman" w:hAnsi="Times New Roman"/>
          <w:sz w:val="18"/>
          <w:szCs w:val="18"/>
        </w:rPr>
        <w:t xml:space="preserve">[8] J. Lin, J. Tang, H. Tang, S. Yang, W.-M. Chen, W.-C. Wang, G. Xiao, X. Dang, C. Gan, and S. Han, “AWQ: Activation-Aware Weight Quantization for On-Device LLM Compression and Acceleration,” Proc. Machine Learning and Systems (MLSys), vol. 6, pp. 87–100, 2024.</w:t>
      </w:r>
    </w:p>
    <w:p>
      <w:pPr>
        <w:spacing w:after="80" w:line="264"/>
        <w:ind w:left="260" w:hanging="260"/>
        <w:jc w:val="both"/>
      </w:pPr>
      <w:r>
        <w:rPr>
          <w:rFonts w:ascii="Times New Roman" w:cs="Times New Roman" w:eastAsia="Times New Roman" w:hAnsi="Times New Roman"/>
          <w:sz w:val="18"/>
          <w:szCs w:val="18"/>
        </w:rPr>
        <w:t xml:space="preserve">[9] Y. Zheng, Y. Chen, B. Qian, X. Shi, Y. Shu, and J. Chen, “A Review on Edge Large Language Models: Design, Execution, and Applications,” arXiv preprint arXiv:2410.11845, 2024.</w:t>
      </w:r>
    </w:p>
    <w:sectPr>
      <w:pgSz w:w="11906" w:h="16838" w:orient="portrait"/>
      <w:pgMar w:top="1440" w:right="1440" w:bottom="1440" w:left="144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2026-09-17T03:22:34.289Z</dcterms:created>
  <dcterms:modified xsi:type="dcterms:W3CDTF">2026-09-17T03:22:34.289Z</dcterms:modified>
</cp:coreProperties>
</file>

<file path=docProps/custom.xml><?xml version="1.0" encoding="utf-8"?>
<Properties xmlns="http://schemas.openxmlformats.org/officeDocument/2006/custom-properties" xmlns:vt="http://schemas.openxmlformats.org/officeDocument/2006/docPropsVTypes"/>
</file>