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851" w:rsidRPr="00DD2851" w:rsidRDefault="00DD2851" w:rsidP="00DD2851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bookmarkStart w:id="0" w:name="_GoBack"/>
      <w:bookmarkEnd w:id="0"/>
      <w:r w:rsidRPr="00DD2851">
        <w:rPr>
          <w:rFonts w:asciiTheme="minorHAnsi" w:hAnsiTheme="minorHAnsi" w:cstheme="minorHAnsi"/>
          <w:color w:val="auto"/>
          <w:sz w:val="22"/>
          <w:szCs w:val="22"/>
        </w:rPr>
        <w:t>1. Data Collection &amp; Sources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Review spontaneous ICSRs from internal and external databases (e.g., </w:t>
      </w:r>
      <w:proofErr w:type="spellStart"/>
      <w:r w:rsidRPr="00DD2851">
        <w:rPr>
          <w:rFonts w:cstheme="minorHAnsi"/>
        </w:rPr>
        <w:t>VigiBase</w:t>
      </w:r>
      <w:proofErr w:type="spellEnd"/>
      <w:r w:rsidRPr="00DD2851">
        <w:rPr>
          <w:rFonts w:cstheme="minorHAnsi"/>
        </w:rPr>
        <w:t xml:space="preserve">, </w:t>
      </w:r>
      <w:proofErr w:type="spellStart"/>
      <w:r w:rsidRPr="00DD2851">
        <w:rPr>
          <w:rFonts w:cstheme="minorHAnsi"/>
        </w:rPr>
        <w:t>EudraVigilance</w:t>
      </w:r>
      <w:proofErr w:type="spellEnd"/>
      <w:r w:rsidRPr="00DD2851">
        <w:rPr>
          <w:rFonts w:cstheme="minorHAnsi"/>
        </w:rPr>
        <w:t>)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>Monitor literature and scientific publications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Include clinical trial safety data, patient registries, and real-world evidence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Review product-specific cumulative data (PSURs, RMPs, DSURs)</w:t>
      </w:r>
    </w:p>
    <w:p w:rsidR="00DD2851" w:rsidRPr="00DD2851" w:rsidRDefault="00DD2851" w:rsidP="00DD2851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D2851">
        <w:rPr>
          <w:rFonts w:asciiTheme="minorHAnsi" w:hAnsiTheme="minorHAnsi" w:cstheme="minorHAnsi"/>
          <w:color w:val="auto"/>
          <w:sz w:val="22"/>
          <w:szCs w:val="22"/>
        </w:rPr>
        <w:t>2. Data Review &amp; Preparation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De-duplicate ICSRs and verify case validity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Ensure completeness of case data (dates, outcomes, medications, medical history)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Apply standardized coding using </w:t>
      </w:r>
      <w:proofErr w:type="spellStart"/>
      <w:r w:rsidRPr="00DD2851">
        <w:rPr>
          <w:rFonts w:cstheme="minorHAnsi"/>
        </w:rPr>
        <w:t>MedDRA</w:t>
      </w:r>
      <w:proofErr w:type="spellEnd"/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Categorize seriousness and expectedness of events</w:t>
      </w:r>
    </w:p>
    <w:p w:rsidR="00DD2851" w:rsidRPr="00DD2851" w:rsidRDefault="00DD2851" w:rsidP="00DD2851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DD2851">
        <w:rPr>
          <w:rFonts w:asciiTheme="minorHAnsi" w:hAnsiTheme="minorHAnsi" w:cstheme="minorHAnsi"/>
          <w:color w:val="auto"/>
          <w:sz w:val="22"/>
          <w:szCs w:val="22"/>
        </w:rPr>
        <w:t>3. Statistical Signal Detection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Run disproportionality analysis (PRR, ROR, IC, EBGM)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Flag statistical outliers with high signal scores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Apply predefined thresholds for signal detection (per SOP or authority guidance)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Document rationale for inclusion/exclusion of signals</w:t>
      </w:r>
    </w:p>
    <w:p w:rsidR="00DD2851" w:rsidRPr="00DD2851" w:rsidRDefault="00DD2851" w:rsidP="00DD2851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DD2851">
        <w:rPr>
          <w:rFonts w:asciiTheme="minorHAnsi" w:hAnsiTheme="minorHAnsi" w:cstheme="minorHAnsi"/>
          <w:color w:val="auto"/>
          <w:sz w:val="22"/>
          <w:szCs w:val="22"/>
        </w:rPr>
        <w:t>4. Medical Review and Clinical Assessment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Review flagged signals for medical plausibility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Check temporal relationship, </w:t>
      </w:r>
      <w:proofErr w:type="spellStart"/>
      <w:r w:rsidRPr="00DD2851">
        <w:rPr>
          <w:rFonts w:cstheme="minorHAnsi"/>
        </w:rPr>
        <w:t>dechallenge</w:t>
      </w:r>
      <w:proofErr w:type="spellEnd"/>
      <w:r w:rsidRPr="00DD2851">
        <w:rPr>
          <w:rFonts w:cstheme="minorHAnsi"/>
        </w:rPr>
        <w:t>/</w:t>
      </w:r>
      <w:proofErr w:type="spellStart"/>
      <w:r w:rsidRPr="00DD2851">
        <w:rPr>
          <w:rFonts w:cstheme="minorHAnsi"/>
        </w:rPr>
        <w:t>rechallenge</w:t>
      </w:r>
      <w:proofErr w:type="spellEnd"/>
      <w:r w:rsidRPr="00DD2851">
        <w:rPr>
          <w:rFonts w:cstheme="minorHAnsi"/>
        </w:rPr>
        <w:t xml:space="preserve"> data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Assess strength of evidence and clinical significance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Validate or dismiss potential signals based on assessment</w:t>
      </w:r>
    </w:p>
    <w:p w:rsidR="00DD2851" w:rsidRPr="00DD2851" w:rsidRDefault="00DD2851" w:rsidP="00DD2851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DD2851">
        <w:rPr>
          <w:rFonts w:asciiTheme="minorHAnsi" w:hAnsiTheme="minorHAnsi" w:cstheme="minorHAnsi"/>
          <w:color w:val="auto"/>
          <w:sz w:val="22"/>
          <w:szCs w:val="22"/>
        </w:rPr>
        <w:t>5. Signal Validation and Prioritization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Evaluate consistency with known product safety profile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Determine public health impact and severity of outcomes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Prioritize based on seriousness, frequency, and preventability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Classify signals (validated, under review, refuted, or closed)</w:t>
      </w:r>
    </w:p>
    <w:p w:rsidR="00DD2851" w:rsidRPr="00DD2851" w:rsidRDefault="00DD2851" w:rsidP="00DD2851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DD2851">
        <w:rPr>
          <w:rFonts w:asciiTheme="minorHAnsi" w:hAnsiTheme="minorHAnsi" w:cstheme="minorHAnsi"/>
          <w:color w:val="auto"/>
          <w:sz w:val="22"/>
          <w:szCs w:val="22"/>
        </w:rPr>
        <w:lastRenderedPageBreak/>
        <w:t>6. Documentation and Reporting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Prepare Signal Management Forms or Signal Assessment Reports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Update product safety information (e.g., </w:t>
      </w:r>
      <w:proofErr w:type="spellStart"/>
      <w:r w:rsidRPr="00DD2851">
        <w:rPr>
          <w:rFonts w:cstheme="minorHAnsi"/>
        </w:rPr>
        <w:t>SmPC</w:t>
      </w:r>
      <w:proofErr w:type="spellEnd"/>
      <w:r w:rsidRPr="00DD2851">
        <w:rPr>
          <w:rFonts w:cstheme="minorHAnsi"/>
        </w:rPr>
        <w:t>, PIL) if necessary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Communicate validated signals to relevant stakeholders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Document all steps and decisions taken during signal evaluation</w:t>
      </w:r>
    </w:p>
    <w:p w:rsidR="00DD2851" w:rsidRPr="00DD2851" w:rsidRDefault="00DD2851" w:rsidP="00DD2851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DD2851">
        <w:rPr>
          <w:rFonts w:asciiTheme="minorHAnsi" w:hAnsiTheme="minorHAnsi" w:cstheme="minorHAnsi"/>
          <w:color w:val="auto"/>
          <w:sz w:val="22"/>
          <w:szCs w:val="22"/>
        </w:rPr>
        <w:t>7. Regulatory Submission and Follow-Up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Report confirmed signals in PSURs or RMPs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Notify health authorities of emerging safety concerns (where required)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Monitor for additional data or case reports post-signal detection</w:t>
      </w:r>
    </w:p>
    <w:p w:rsidR="00DD2851" w:rsidRPr="00DD2851" w:rsidRDefault="00DD2851" w:rsidP="00DD2851">
      <w:pPr>
        <w:pStyle w:val="ListBullet"/>
        <w:rPr>
          <w:rFonts w:cstheme="minorHAnsi"/>
        </w:rPr>
      </w:pPr>
      <w:r w:rsidRPr="00DD2851">
        <w:rPr>
          <w:rFonts w:ascii="MS Gothic" w:eastAsia="MS Gothic" w:hAnsi="MS Gothic" w:cs="MS Gothic" w:hint="eastAsia"/>
          <w:sz w:val="28"/>
          <w:szCs w:val="28"/>
        </w:rPr>
        <w:t>☐</w:t>
      </w:r>
      <w:r w:rsidRPr="00DD2851">
        <w:rPr>
          <w:rFonts w:cstheme="minorHAnsi"/>
        </w:rPr>
        <w:t xml:space="preserve"> Reassess signal periodically or based on new evidence</w:t>
      </w:r>
    </w:p>
    <w:p w:rsidR="00477F71" w:rsidRPr="00DD2851" w:rsidRDefault="00200169">
      <w:pPr>
        <w:rPr>
          <w:rFonts w:asciiTheme="minorHAnsi" w:hAnsiTheme="minorHAnsi" w:cstheme="minorHAnsi"/>
          <w:sz w:val="22"/>
          <w:szCs w:val="22"/>
        </w:rPr>
      </w:pPr>
    </w:p>
    <w:sectPr w:rsidR="00477F71" w:rsidRPr="00DD2851" w:rsidSect="003D7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0169" w:rsidRDefault="00200169" w:rsidP="00DD2851">
      <w:r>
        <w:separator/>
      </w:r>
    </w:p>
  </w:endnote>
  <w:endnote w:type="continuationSeparator" w:id="0">
    <w:p w:rsidR="00200169" w:rsidRDefault="00200169" w:rsidP="00DD2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2851" w:rsidRDefault="00DD285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058233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86861" w:rsidRDefault="007B501F" w:rsidP="002448D4">
            <w:pPr>
              <w:pStyle w:val="Footer"/>
              <w:tabs>
                <w:tab w:val="left" w:pos="7065"/>
                <w:tab w:val="right" w:pos="9900"/>
              </w:tabs>
            </w:pPr>
            <w:r>
              <w:tab/>
            </w:r>
            <w:r>
              <w:tab/>
            </w:r>
            <w:r>
              <w:tab/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B63A9C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B63A9C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5868B8" w:rsidRDefault="0020016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2851" w:rsidRDefault="00DD28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0169" w:rsidRDefault="00200169" w:rsidP="00DD2851">
      <w:r>
        <w:separator/>
      </w:r>
    </w:p>
  </w:footnote>
  <w:footnote w:type="continuationSeparator" w:id="0">
    <w:p w:rsidR="00200169" w:rsidRDefault="00200169" w:rsidP="00DD28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20016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7" o:spid="_x0000_s2049" type="#_x0000_t136" style="position:absolute;margin-left:0;margin-top:0;width:569.85pt;height:89.95pt;rotation:315;z-index:-251659264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0908" w:type="dxa"/>
      <w:tblLook w:val="04A0" w:firstRow="1" w:lastRow="0" w:firstColumn="1" w:lastColumn="0" w:noHBand="0" w:noVBand="1"/>
    </w:tblPr>
    <w:tblGrid>
      <w:gridCol w:w="2136"/>
      <w:gridCol w:w="1486"/>
      <w:gridCol w:w="3289"/>
      <w:gridCol w:w="1776"/>
      <w:gridCol w:w="2221"/>
    </w:tblGrid>
    <w:tr w:rsidR="003D7073" w:rsidRPr="005868B8" w:rsidTr="003D7073">
      <w:trPr>
        <w:trHeight w:val="148"/>
      </w:trPr>
      <w:tc>
        <w:tcPr>
          <w:tcW w:w="2136" w:type="dxa"/>
          <w:vMerge w:val="restart"/>
        </w:tcPr>
        <w:p w:rsidR="00B86861" w:rsidRPr="005868B8" w:rsidRDefault="007B501F" w:rsidP="003D7073">
          <w:pPr>
            <w:pStyle w:val="Header"/>
            <w:spacing w:line="360" w:lineRule="auto"/>
            <w:ind w:left="-630"/>
            <w:jc w:val="both"/>
            <w:rPr>
              <w:rFonts w:cstheme="minorHAnsi"/>
            </w:rPr>
          </w:pPr>
          <w:r w:rsidRPr="005868B8">
            <w:rPr>
              <w:rFonts w:cstheme="minorHAnsi"/>
              <w:noProof/>
            </w:rPr>
            <w:drawing>
              <wp:anchor distT="0" distB="0" distL="114300" distR="114300" simplePos="0" relativeHeight="251656192" behindDoc="1" locked="0" layoutInCell="1" allowOverlap="1" wp14:anchorId="504D7743" wp14:editId="46E52D57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2" w:type="dxa"/>
          <w:gridSpan w:val="4"/>
          <w:tcBorders>
            <w:bottom w:val="single" w:sz="4" w:space="0" w:color="auto"/>
          </w:tcBorders>
        </w:tcPr>
        <w:p w:rsidR="00B86861" w:rsidRPr="005868B8" w:rsidRDefault="007B501F" w:rsidP="003D7073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B86861" w:rsidRPr="005868B8" w:rsidRDefault="007B501F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3D7073" w:rsidRPr="005868B8" w:rsidTr="003D7073">
      <w:trPr>
        <w:trHeight w:val="382"/>
      </w:trPr>
      <w:tc>
        <w:tcPr>
          <w:tcW w:w="2136" w:type="dxa"/>
          <w:vMerge/>
        </w:tcPr>
        <w:p w:rsidR="00B86861" w:rsidRPr="005868B8" w:rsidRDefault="00200169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877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B86861" w:rsidRPr="005868B8" w:rsidRDefault="00DD2851" w:rsidP="007232FB">
          <w:pPr>
            <w:tabs>
              <w:tab w:val="left" w:pos="2445"/>
              <w:tab w:val="left" w:pos="2550"/>
              <w:tab w:val="center" w:pos="4278"/>
              <w:tab w:val="center" w:pos="4513"/>
            </w:tabs>
            <w:spacing w:line="360" w:lineRule="auto"/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</w:rPr>
            <w:t>SIGNAL DETECTION CHECKLIST</w:t>
          </w:r>
        </w:p>
      </w:tc>
    </w:tr>
    <w:tr w:rsidR="00CB27C9" w:rsidRPr="005868B8" w:rsidTr="003D7073">
      <w:trPr>
        <w:trHeight w:val="132"/>
      </w:trPr>
      <w:tc>
        <w:tcPr>
          <w:tcW w:w="2136" w:type="dxa"/>
          <w:vMerge/>
        </w:tcPr>
        <w:p w:rsidR="00B86861" w:rsidRPr="005868B8" w:rsidRDefault="00200169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486" w:type="dxa"/>
          <w:tcBorders>
            <w:top w:val="single" w:sz="4" w:space="0" w:color="auto"/>
          </w:tcBorders>
        </w:tcPr>
        <w:p w:rsidR="00B86861" w:rsidRPr="005868B8" w:rsidRDefault="007B501F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DOC. NO.</w:t>
          </w:r>
        </w:p>
      </w:tc>
      <w:tc>
        <w:tcPr>
          <w:tcW w:w="3289" w:type="dxa"/>
          <w:tcBorders>
            <w:top w:val="single" w:sz="4" w:space="0" w:color="auto"/>
            <w:right w:val="single" w:sz="4" w:space="0" w:color="auto"/>
          </w:tcBorders>
        </w:tcPr>
        <w:p w:rsidR="00B86861" w:rsidRPr="005868B8" w:rsidRDefault="007B501F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</w:t>
          </w:r>
          <w:r w:rsidR="00DD2851">
            <w:rPr>
              <w:rFonts w:cstheme="minorHAnsi"/>
              <w:sz w:val="24"/>
              <w:szCs w:val="24"/>
            </w:rPr>
            <w:t>6</w:t>
          </w:r>
          <w:r>
            <w:rPr>
              <w:rFonts w:cstheme="minorHAnsi"/>
              <w:sz w:val="24"/>
              <w:szCs w:val="24"/>
            </w:rPr>
            <w:t>-F</w:t>
          </w:r>
          <w:r w:rsidRPr="005868B8">
            <w:rPr>
              <w:rFonts w:cstheme="minorHAnsi"/>
              <w:sz w:val="24"/>
              <w:szCs w:val="24"/>
            </w:rPr>
            <w:t>0</w:t>
          </w:r>
          <w:r>
            <w:rPr>
              <w:rFonts w:cstheme="minorHAnsi"/>
              <w:sz w:val="24"/>
              <w:szCs w:val="24"/>
            </w:rPr>
            <w:t>1</w:t>
          </w:r>
        </w:p>
      </w:tc>
      <w:tc>
        <w:tcPr>
          <w:tcW w:w="17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B86861" w:rsidRPr="005868B8" w:rsidRDefault="007B501F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SOP REF NO.</w:t>
          </w:r>
        </w:p>
      </w:tc>
      <w:tc>
        <w:tcPr>
          <w:tcW w:w="2221" w:type="dxa"/>
          <w:tcBorders>
            <w:top w:val="single" w:sz="4" w:space="0" w:color="auto"/>
            <w:left w:val="single" w:sz="4" w:space="0" w:color="auto"/>
          </w:tcBorders>
        </w:tcPr>
        <w:p w:rsidR="00B86861" w:rsidRPr="005868B8" w:rsidRDefault="007B501F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</w:t>
          </w:r>
          <w:r w:rsidR="00DD2851">
            <w:rPr>
              <w:rFonts w:cstheme="minorHAnsi"/>
              <w:sz w:val="24"/>
              <w:szCs w:val="24"/>
            </w:rPr>
            <w:t>6</w:t>
          </w:r>
        </w:p>
      </w:tc>
    </w:tr>
  </w:tbl>
  <w:p w:rsidR="00B86861" w:rsidRDefault="00200169">
    <w:pPr>
      <w:pStyle w:val="Header"/>
    </w:pPr>
  </w:p>
  <w:p w:rsidR="00B86861" w:rsidRDefault="00200169">
    <w:pPr>
      <w:pStyle w:val="Header"/>
    </w:pPr>
  </w:p>
  <w:p w:rsidR="00B86861" w:rsidRDefault="00200169">
    <w:pPr>
      <w:pStyle w:val="Header"/>
    </w:pPr>
  </w:p>
  <w:p w:rsidR="00B86861" w:rsidRDefault="00200169">
    <w:pPr>
      <w:pStyle w:val="Header"/>
    </w:pPr>
  </w:p>
  <w:p w:rsidR="00B86861" w:rsidRDefault="00200169">
    <w:pPr>
      <w:pStyle w:val="Header"/>
    </w:pPr>
  </w:p>
  <w:p w:rsidR="00B86861" w:rsidRDefault="00200169">
    <w:pPr>
      <w:pStyle w:val="Header"/>
    </w:pPr>
  </w:p>
  <w:p w:rsidR="00B86861" w:rsidRDefault="00200169">
    <w:pPr>
      <w:pStyle w:val="Header"/>
    </w:pPr>
  </w:p>
  <w:p w:rsidR="005868B8" w:rsidRDefault="0020016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8" o:spid="_x0000_s2050" type="#_x0000_t136" style="position:absolute;margin-left:0;margin-top:0;width:569.85pt;height:89.95pt;rotation:315;z-index:-25165824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20016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6" o:spid="_x0000_s2051" type="#_x0000_t136" style="position:absolute;margin-left:0;margin-top:0;width:569.85pt;height:89.95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5C06DF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6922C5F"/>
    <w:multiLevelType w:val="multilevel"/>
    <w:tmpl w:val="D852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EC0FD5"/>
    <w:multiLevelType w:val="multilevel"/>
    <w:tmpl w:val="FF0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752641"/>
    <w:multiLevelType w:val="multilevel"/>
    <w:tmpl w:val="9474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FF2911"/>
    <w:multiLevelType w:val="multilevel"/>
    <w:tmpl w:val="4E8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12385A"/>
    <w:multiLevelType w:val="multilevel"/>
    <w:tmpl w:val="382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BB2DF5"/>
    <w:multiLevelType w:val="multilevel"/>
    <w:tmpl w:val="7C5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3501E5"/>
    <w:multiLevelType w:val="multilevel"/>
    <w:tmpl w:val="9D1C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5445C1"/>
    <w:multiLevelType w:val="multilevel"/>
    <w:tmpl w:val="A33A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6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851"/>
    <w:rsid w:val="00200169"/>
    <w:rsid w:val="007B501F"/>
    <w:rsid w:val="007F5161"/>
    <w:rsid w:val="00B63A9C"/>
    <w:rsid w:val="00DD2851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8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851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D2851"/>
  </w:style>
  <w:style w:type="paragraph" w:styleId="Header">
    <w:name w:val="header"/>
    <w:basedOn w:val="Normal"/>
    <w:link w:val="HeaderChar"/>
    <w:uiPriority w:val="99"/>
    <w:unhideWhenUsed/>
    <w:rsid w:val="00DD285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DD285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D28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D28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85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D285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DD2851"/>
    <w:pPr>
      <w:numPr>
        <w:numId w:val="9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8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851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D2851"/>
  </w:style>
  <w:style w:type="paragraph" w:styleId="Header">
    <w:name w:val="header"/>
    <w:basedOn w:val="Normal"/>
    <w:link w:val="HeaderChar"/>
    <w:uiPriority w:val="99"/>
    <w:unhideWhenUsed/>
    <w:rsid w:val="00DD285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DD285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D28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D28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85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D285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DD2851"/>
    <w:pPr>
      <w:numPr>
        <w:numId w:val="9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cp:lastPrinted>2025-08-07T11:24:00Z</cp:lastPrinted>
  <dcterms:created xsi:type="dcterms:W3CDTF">2025-07-27T00:44:00Z</dcterms:created>
  <dcterms:modified xsi:type="dcterms:W3CDTF">2025-08-07T11:25:00Z</dcterms:modified>
</cp:coreProperties>
</file>