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37A" w:rsidRPr="00BB337A" w:rsidRDefault="00BB337A" w:rsidP="00BB337A">
      <w:pPr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  <w:r w:rsidRPr="00BB337A">
        <w:rPr>
          <w:rFonts w:asciiTheme="minorHAnsi" w:hAnsiTheme="minorHAnsi" w:cstheme="minorHAnsi"/>
          <w:sz w:val="22"/>
          <w:szCs w:val="22"/>
        </w:rPr>
        <w:t>This is designed to support consistent documentation of signal evaluation activities.</w:t>
      </w:r>
    </w:p>
    <w:p w:rsidR="00BB337A" w:rsidRPr="00BB337A" w:rsidRDefault="00BB337A" w:rsidP="00BB337A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BB337A">
        <w:rPr>
          <w:rFonts w:asciiTheme="minorHAnsi" w:hAnsiTheme="minorHAnsi" w:cstheme="minorHAnsi"/>
          <w:color w:val="auto"/>
          <w:sz w:val="22"/>
          <w:szCs w:val="22"/>
        </w:rPr>
        <w:t>1. Signal Title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>Provide a concise title for the signal (e.g., "Acute kidney injury associated with Drug X").</w:t>
      </w:r>
    </w:p>
    <w:p w:rsidR="00BB337A" w:rsidRPr="00BB337A" w:rsidRDefault="00BB337A" w:rsidP="00BB337A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BB337A">
        <w:rPr>
          <w:rFonts w:asciiTheme="minorHAnsi" w:hAnsiTheme="minorHAnsi" w:cstheme="minorHAnsi"/>
          <w:color w:val="auto"/>
          <w:sz w:val="22"/>
          <w:szCs w:val="22"/>
        </w:rPr>
        <w:t>2. Date of Evaluation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>Enter the date when the signal evaluation was conducted.</w:t>
      </w:r>
    </w:p>
    <w:p w:rsidR="00BB337A" w:rsidRPr="00BB337A" w:rsidRDefault="00BB337A" w:rsidP="00BB337A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BB337A">
        <w:rPr>
          <w:rFonts w:asciiTheme="minorHAnsi" w:hAnsiTheme="minorHAnsi" w:cstheme="minorHAnsi"/>
          <w:color w:val="auto"/>
          <w:sz w:val="22"/>
          <w:szCs w:val="22"/>
        </w:rPr>
        <w:t>3. Background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 Describe the origin of the signal (e.g., spontaneous report, literature, clinical trial).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 Include details of initial identification and trigger.</w:t>
      </w:r>
    </w:p>
    <w:p w:rsidR="00BB337A" w:rsidRPr="00BB337A" w:rsidRDefault="00BB337A" w:rsidP="00BB337A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BB337A">
        <w:rPr>
          <w:rFonts w:asciiTheme="minorHAnsi" w:hAnsiTheme="minorHAnsi" w:cstheme="minorHAnsi"/>
          <w:color w:val="auto"/>
          <w:sz w:val="22"/>
          <w:szCs w:val="22"/>
        </w:rPr>
        <w:t>4. Case Overview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 Summarize the number of cases reviewed, data sources (e.g., </w:t>
      </w:r>
      <w:proofErr w:type="spellStart"/>
      <w:r w:rsidRPr="00BB337A">
        <w:rPr>
          <w:rFonts w:cstheme="minorHAnsi"/>
        </w:rPr>
        <w:t>VigiBase</w:t>
      </w:r>
      <w:proofErr w:type="spellEnd"/>
      <w:r w:rsidRPr="00BB337A">
        <w:rPr>
          <w:rFonts w:cstheme="minorHAnsi"/>
        </w:rPr>
        <w:t>, internal database), and basic case characteristics.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 Indicate whether the cases were serious, from healthcare professionals, etc.</w:t>
      </w:r>
    </w:p>
    <w:p w:rsidR="00BB337A" w:rsidRPr="00BB337A" w:rsidRDefault="00BB337A" w:rsidP="00BB337A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BB337A">
        <w:rPr>
          <w:rFonts w:asciiTheme="minorHAnsi" w:hAnsiTheme="minorHAnsi" w:cstheme="minorHAnsi"/>
          <w:color w:val="auto"/>
          <w:sz w:val="22"/>
          <w:szCs w:val="22"/>
        </w:rPr>
        <w:t>5. Clinical Assessment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Assess the temporal relationship, </w:t>
      </w:r>
      <w:proofErr w:type="spellStart"/>
      <w:r w:rsidRPr="00BB337A">
        <w:rPr>
          <w:rFonts w:cstheme="minorHAnsi"/>
        </w:rPr>
        <w:t>dechallenge</w:t>
      </w:r>
      <w:proofErr w:type="spellEnd"/>
      <w:r w:rsidRPr="00BB337A">
        <w:rPr>
          <w:rFonts w:cstheme="minorHAnsi"/>
        </w:rPr>
        <w:t>/</w:t>
      </w:r>
      <w:proofErr w:type="spellStart"/>
      <w:r w:rsidRPr="00BB337A">
        <w:rPr>
          <w:rFonts w:cstheme="minorHAnsi"/>
        </w:rPr>
        <w:t>rechallenge</w:t>
      </w:r>
      <w:proofErr w:type="spellEnd"/>
      <w:r w:rsidRPr="00BB337A">
        <w:rPr>
          <w:rFonts w:cstheme="minorHAnsi"/>
        </w:rPr>
        <w:t>, biological plausibility, and consistency across cases.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 Provide a medical review and expert opinion where applicable.</w:t>
      </w:r>
    </w:p>
    <w:p w:rsidR="00BB337A" w:rsidRPr="00BB337A" w:rsidRDefault="00BB337A" w:rsidP="00BB337A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BB337A">
        <w:rPr>
          <w:rFonts w:asciiTheme="minorHAnsi" w:hAnsiTheme="minorHAnsi" w:cstheme="minorHAnsi"/>
          <w:color w:val="auto"/>
          <w:sz w:val="22"/>
          <w:szCs w:val="22"/>
        </w:rPr>
        <w:t>6. Literature and Evidence Review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Summarize findings from published literature, regulatory sources, or other </w:t>
      </w:r>
      <w:proofErr w:type="spellStart"/>
      <w:r w:rsidRPr="00BB337A">
        <w:rPr>
          <w:rFonts w:cstheme="minorHAnsi"/>
        </w:rPr>
        <w:t>pharmacovigilance</w:t>
      </w:r>
      <w:proofErr w:type="spellEnd"/>
      <w:r w:rsidRPr="00BB337A">
        <w:rPr>
          <w:rFonts w:cstheme="minorHAnsi"/>
        </w:rPr>
        <w:t xml:space="preserve"> databases.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 Include relevant preclinical or clinical trial data.</w:t>
      </w:r>
    </w:p>
    <w:p w:rsidR="00BB337A" w:rsidRPr="00BB337A" w:rsidRDefault="00BB337A" w:rsidP="00BB3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B337A">
        <w:rPr>
          <w:rFonts w:asciiTheme="minorHAnsi" w:hAnsiTheme="minorHAnsi" w:cstheme="minorHAnsi"/>
          <w:color w:val="auto"/>
          <w:sz w:val="22"/>
          <w:szCs w:val="22"/>
        </w:rPr>
        <w:t>7. Causality Assessment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 State if a causal relationship is plausible, likely, unlikely, or </w:t>
      </w:r>
      <w:proofErr w:type="spellStart"/>
      <w:r w:rsidRPr="00BB337A">
        <w:rPr>
          <w:rFonts w:cstheme="minorHAnsi"/>
        </w:rPr>
        <w:t>unassessable</w:t>
      </w:r>
      <w:proofErr w:type="spellEnd"/>
      <w:r w:rsidRPr="00BB337A">
        <w:rPr>
          <w:rFonts w:cstheme="minorHAnsi"/>
        </w:rPr>
        <w:t>.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>Mention any applicable causality assessment tools (e.g., WHO-UMC).</w:t>
      </w:r>
    </w:p>
    <w:p w:rsidR="00BB337A" w:rsidRPr="00BB337A" w:rsidRDefault="00BB337A" w:rsidP="00BB337A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BB337A">
        <w:rPr>
          <w:rFonts w:asciiTheme="minorHAnsi" w:hAnsiTheme="minorHAnsi" w:cstheme="minorHAnsi"/>
          <w:color w:val="auto"/>
          <w:sz w:val="22"/>
          <w:szCs w:val="22"/>
        </w:rPr>
        <w:t>8. Signal Strength &amp; Public Health Impact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 Evaluate the seriousness, frequency, reversibility, and preventability of the event.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 Estimate the signal's potential impact on public health or specific populations.</w:t>
      </w:r>
    </w:p>
    <w:p w:rsidR="00BB337A" w:rsidRPr="00BB337A" w:rsidRDefault="00BB337A" w:rsidP="00BB337A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BB337A">
        <w:rPr>
          <w:rFonts w:asciiTheme="minorHAnsi" w:hAnsiTheme="minorHAnsi" w:cstheme="minorHAnsi"/>
          <w:color w:val="auto"/>
          <w:sz w:val="22"/>
          <w:szCs w:val="22"/>
        </w:rPr>
        <w:t>9. Risk Minimization or Regulatory Action (if applicable)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Propose any actions: </w:t>
      </w:r>
      <w:proofErr w:type="spellStart"/>
      <w:r w:rsidRPr="00BB337A">
        <w:rPr>
          <w:rFonts w:cstheme="minorHAnsi"/>
        </w:rPr>
        <w:t>SmPC</w:t>
      </w:r>
      <w:proofErr w:type="spellEnd"/>
      <w:r w:rsidRPr="00BB337A">
        <w:rPr>
          <w:rFonts w:cstheme="minorHAnsi"/>
        </w:rPr>
        <w:t>/PIL updates, DHPC, risk minimization measures, additional monitoring.</w:t>
      </w:r>
    </w:p>
    <w:p w:rsidR="00BB337A" w:rsidRPr="00BB337A" w:rsidRDefault="00BB337A" w:rsidP="00BB337A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BB337A">
        <w:rPr>
          <w:rFonts w:asciiTheme="minorHAnsi" w:hAnsiTheme="minorHAnsi" w:cstheme="minorHAnsi"/>
          <w:color w:val="auto"/>
          <w:sz w:val="22"/>
          <w:szCs w:val="22"/>
        </w:rPr>
        <w:t>10. Conclusion and Recommendation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 Summarize the final decision: validated, refuted, or pending further data.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 Include recommendations for follow-up or further monitoring.</w:t>
      </w:r>
    </w:p>
    <w:p w:rsidR="00BB337A" w:rsidRPr="00BB337A" w:rsidRDefault="00BB337A" w:rsidP="00BB337A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BB337A">
        <w:rPr>
          <w:rFonts w:asciiTheme="minorHAnsi" w:hAnsiTheme="minorHAnsi" w:cstheme="minorHAnsi"/>
          <w:color w:val="auto"/>
          <w:sz w:val="22"/>
          <w:szCs w:val="22"/>
        </w:rPr>
        <w:lastRenderedPageBreak/>
        <w:t>11. References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 List literature articles, case IDs, databases, and tools used.</w:t>
      </w:r>
    </w:p>
    <w:p w:rsidR="00BB337A" w:rsidRPr="00BB337A" w:rsidRDefault="00BB337A" w:rsidP="00BB337A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BB337A">
        <w:rPr>
          <w:rFonts w:asciiTheme="minorHAnsi" w:hAnsiTheme="minorHAnsi" w:cstheme="minorHAnsi"/>
          <w:color w:val="auto"/>
          <w:sz w:val="22"/>
          <w:szCs w:val="22"/>
        </w:rPr>
        <w:t>12. Appendices (Optional)</w:t>
      </w:r>
    </w:p>
    <w:p w:rsidR="00BB337A" w:rsidRPr="00BB337A" w:rsidRDefault="00BB337A" w:rsidP="00BB337A">
      <w:pPr>
        <w:pStyle w:val="ListBullet"/>
        <w:rPr>
          <w:rFonts w:cstheme="minorHAnsi"/>
        </w:rPr>
      </w:pPr>
      <w:r w:rsidRPr="00BB337A">
        <w:rPr>
          <w:rFonts w:cstheme="minorHAnsi"/>
        </w:rPr>
        <w:t xml:space="preserve">Include line listings, </w:t>
      </w:r>
      <w:proofErr w:type="spellStart"/>
      <w:r w:rsidRPr="00BB337A">
        <w:rPr>
          <w:rFonts w:cstheme="minorHAnsi"/>
        </w:rPr>
        <w:t>MedDRA</w:t>
      </w:r>
      <w:proofErr w:type="spellEnd"/>
      <w:r w:rsidRPr="00BB337A">
        <w:rPr>
          <w:rFonts w:cstheme="minorHAnsi"/>
        </w:rPr>
        <w:t xml:space="preserve"> frequency tables, narratives, or graphs if applicable.</w:t>
      </w:r>
    </w:p>
    <w:p w:rsidR="00477F71" w:rsidRPr="00BB337A" w:rsidRDefault="00D240ED" w:rsidP="00BB337A">
      <w:pPr>
        <w:rPr>
          <w:rFonts w:asciiTheme="minorHAnsi" w:hAnsiTheme="minorHAnsi" w:cstheme="minorHAnsi"/>
          <w:sz w:val="22"/>
          <w:szCs w:val="22"/>
        </w:rPr>
      </w:pPr>
    </w:p>
    <w:sectPr w:rsidR="00477F71" w:rsidRPr="00BB337A" w:rsidSect="003D7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40ED" w:rsidRDefault="00D240ED" w:rsidP="00BB337A">
      <w:r>
        <w:separator/>
      </w:r>
    </w:p>
  </w:endnote>
  <w:endnote w:type="continuationSeparator" w:id="0">
    <w:p w:rsidR="00D240ED" w:rsidRDefault="00D240ED" w:rsidP="00BB3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337A" w:rsidRDefault="00BB337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058233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86861" w:rsidRDefault="000F1C05" w:rsidP="002448D4">
            <w:pPr>
              <w:pStyle w:val="Footer"/>
              <w:tabs>
                <w:tab w:val="left" w:pos="7065"/>
                <w:tab w:val="right" w:pos="9900"/>
              </w:tabs>
            </w:pPr>
            <w:r>
              <w:tab/>
            </w:r>
            <w:r>
              <w:tab/>
            </w:r>
            <w:r>
              <w:tab/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D31C50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D31C50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5868B8" w:rsidRDefault="00D240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337A" w:rsidRDefault="00BB337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40ED" w:rsidRDefault="00D240ED" w:rsidP="00BB337A">
      <w:r>
        <w:separator/>
      </w:r>
    </w:p>
  </w:footnote>
  <w:footnote w:type="continuationSeparator" w:id="0">
    <w:p w:rsidR="00D240ED" w:rsidRDefault="00D240ED" w:rsidP="00BB33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D240E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49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136"/>
      <w:gridCol w:w="1486"/>
      <w:gridCol w:w="3289"/>
      <w:gridCol w:w="1776"/>
      <w:gridCol w:w="2221"/>
    </w:tblGrid>
    <w:tr w:rsidR="003D7073" w:rsidRPr="005868B8" w:rsidTr="003D7073">
      <w:trPr>
        <w:trHeight w:val="148"/>
      </w:trPr>
      <w:tc>
        <w:tcPr>
          <w:tcW w:w="2136" w:type="dxa"/>
          <w:vMerge w:val="restart"/>
        </w:tcPr>
        <w:p w:rsidR="00B86861" w:rsidRPr="005868B8" w:rsidRDefault="000F1C05" w:rsidP="003D7073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62336" behindDoc="1" locked="0" layoutInCell="1" allowOverlap="1" wp14:anchorId="14925C92" wp14:editId="4DF601F0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2" w:type="dxa"/>
          <w:gridSpan w:val="4"/>
          <w:tcBorders>
            <w:bottom w:val="single" w:sz="4" w:space="0" w:color="auto"/>
          </w:tcBorders>
        </w:tcPr>
        <w:p w:rsidR="00B86861" w:rsidRPr="005868B8" w:rsidRDefault="000F1C05" w:rsidP="003D7073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B86861" w:rsidRPr="005868B8" w:rsidRDefault="000F1C05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3D7073" w:rsidRPr="005868B8" w:rsidTr="003D7073">
      <w:trPr>
        <w:trHeight w:val="382"/>
      </w:trPr>
      <w:tc>
        <w:tcPr>
          <w:tcW w:w="2136" w:type="dxa"/>
          <w:vMerge/>
        </w:tcPr>
        <w:p w:rsidR="00B86861" w:rsidRPr="005868B8" w:rsidRDefault="00D240ED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77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B86861" w:rsidRPr="005868B8" w:rsidRDefault="000F1C05" w:rsidP="007232FB">
          <w:pPr>
            <w:tabs>
              <w:tab w:val="left" w:pos="2445"/>
              <w:tab w:val="left" w:pos="2550"/>
              <w:tab w:val="center" w:pos="4278"/>
              <w:tab w:val="center" w:pos="4513"/>
            </w:tabs>
            <w:spacing w:line="360" w:lineRule="auto"/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</w:rPr>
            <w:t xml:space="preserve">SIGNAL </w:t>
          </w:r>
          <w:r w:rsidR="00BB337A">
            <w:rPr>
              <w:rFonts w:asciiTheme="minorHAnsi" w:hAnsiTheme="minorHAnsi" w:cstheme="minorHAnsi"/>
              <w:b/>
            </w:rPr>
            <w:t>EVALUATION REPORT GUIDE</w:t>
          </w:r>
        </w:p>
      </w:tc>
    </w:tr>
    <w:tr w:rsidR="00CB27C9" w:rsidRPr="005868B8" w:rsidTr="003D7073">
      <w:trPr>
        <w:trHeight w:val="132"/>
      </w:trPr>
      <w:tc>
        <w:tcPr>
          <w:tcW w:w="2136" w:type="dxa"/>
          <w:vMerge/>
        </w:tcPr>
        <w:p w:rsidR="00B86861" w:rsidRPr="005868B8" w:rsidRDefault="00D240ED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486" w:type="dxa"/>
          <w:tcBorders>
            <w:top w:val="single" w:sz="4" w:space="0" w:color="auto"/>
          </w:tcBorders>
        </w:tcPr>
        <w:p w:rsidR="00B86861" w:rsidRPr="005868B8" w:rsidRDefault="000F1C05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289" w:type="dxa"/>
          <w:tcBorders>
            <w:top w:val="single" w:sz="4" w:space="0" w:color="auto"/>
            <w:right w:val="single" w:sz="4" w:space="0" w:color="auto"/>
          </w:tcBorders>
        </w:tcPr>
        <w:p w:rsidR="00B86861" w:rsidRPr="005868B8" w:rsidRDefault="000F1C05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06-</w:t>
          </w:r>
          <w:r w:rsidR="00BB337A">
            <w:rPr>
              <w:rFonts w:cstheme="minorHAnsi"/>
              <w:sz w:val="24"/>
              <w:szCs w:val="24"/>
            </w:rPr>
            <w:t>G</w:t>
          </w:r>
          <w:r w:rsidRPr="005868B8">
            <w:rPr>
              <w:rFonts w:cstheme="minorHAnsi"/>
              <w:sz w:val="24"/>
              <w:szCs w:val="24"/>
            </w:rPr>
            <w:t>0</w:t>
          </w:r>
          <w:r>
            <w:rPr>
              <w:rFonts w:cstheme="minorHAnsi"/>
              <w:sz w:val="24"/>
              <w:szCs w:val="24"/>
            </w:rPr>
            <w:t>1</w:t>
          </w:r>
        </w:p>
      </w:tc>
      <w:tc>
        <w:tcPr>
          <w:tcW w:w="17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B86861" w:rsidRPr="005868B8" w:rsidRDefault="000F1C05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221" w:type="dxa"/>
          <w:tcBorders>
            <w:top w:val="single" w:sz="4" w:space="0" w:color="auto"/>
            <w:left w:val="single" w:sz="4" w:space="0" w:color="auto"/>
          </w:tcBorders>
        </w:tcPr>
        <w:p w:rsidR="00B86861" w:rsidRPr="005868B8" w:rsidRDefault="000F1C05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06</w:t>
          </w:r>
        </w:p>
      </w:tc>
    </w:tr>
  </w:tbl>
  <w:p w:rsidR="00B86861" w:rsidRDefault="00D240ED">
    <w:pPr>
      <w:pStyle w:val="Header"/>
    </w:pPr>
  </w:p>
  <w:p w:rsidR="00B86861" w:rsidRDefault="00D240ED">
    <w:pPr>
      <w:pStyle w:val="Header"/>
    </w:pPr>
  </w:p>
  <w:p w:rsidR="00B86861" w:rsidRDefault="00D240ED">
    <w:pPr>
      <w:pStyle w:val="Header"/>
    </w:pPr>
  </w:p>
  <w:p w:rsidR="00B86861" w:rsidRDefault="00D240ED">
    <w:pPr>
      <w:pStyle w:val="Header"/>
    </w:pPr>
  </w:p>
  <w:p w:rsidR="00B86861" w:rsidRDefault="00D240ED">
    <w:pPr>
      <w:pStyle w:val="Header"/>
    </w:pPr>
  </w:p>
  <w:p w:rsidR="00B86861" w:rsidRDefault="00D240ED">
    <w:pPr>
      <w:pStyle w:val="Header"/>
    </w:pPr>
  </w:p>
  <w:p w:rsidR="00B86861" w:rsidRDefault="00D240ED">
    <w:pPr>
      <w:pStyle w:val="Header"/>
    </w:pPr>
  </w:p>
  <w:p w:rsidR="005868B8" w:rsidRDefault="00D240E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0" type="#_x0000_t136" style="position:absolute;margin-left:0;margin-top:0;width:569.85pt;height:89.95pt;rotation:315;z-index:-251656192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D240E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51" type="#_x0000_t136" style="position:absolute;margin-left:0;margin-top:0;width:569.85pt;height:89.95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5C06DF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37A"/>
    <w:rsid w:val="000F1C05"/>
    <w:rsid w:val="007F5161"/>
    <w:rsid w:val="00BB337A"/>
    <w:rsid w:val="00D240ED"/>
    <w:rsid w:val="00D31C50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3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37A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33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B337A"/>
  </w:style>
  <w:style w:type="paragraph" w:styleId="Header">
    <w:name w:val="header"/>
    <w:basedOn w:val="Normal"/>
    <w:link w:val="HeaderChar"/>
    <w:uiPriority w:val="99"/>
    <w:unhideWhenUsed/>
    <w:rsid w:val="00BB337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BB337A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B337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B33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337A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BB337A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3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37A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33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B337A"/>
  </w:style>
  <w:style w:type="paragraph" w:styleId="Header">
    <w:name w:val="header"/>
    <w:basedOn w:val="Normal"/>
    <w:link w:val="HeaderChar"/>
    <w:uiPriority w:val="99"/>
    <w:unhideWhenUsed/>
    <w:rsid w:val="00BB337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BB337A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B337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B33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337A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BB337A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2025-08-07T11:27:00Z</cp:lastPrinted>
  <dcterms:created xsi:type="dcterms:W3CDTF">2025-07-27T00:55:00Z</dcterms:created>
  <dcterms:modified xsi:type="dcterms:W3CDTF">2025-08-07T11:27:00Z</dcterms:modified>
</cp:coreProperties>
</file>