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0A90" w:rsidRPr="00B80A90" w:rsidRDefault="00B80A90" w:rsidP="00B80A9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</w:rPr>
      </w:pPr>
      <w:r w:rsidRPr="00B80A90">
        <w:rPr>
          <w:rFonts w:cstheme="minorHAnsi"/>
          <w:b/>
        </w:rPr>
        <w:t>OBJECTIVE:</w:t>
      </w:r>
    </w:p>
    <w:p w:rsidR="00B80A90" w:rsidRPr="003D4351" w:rsidRDefault="00B80A90" w:rsidP="003D4351">
      <w:pPr>
        <w:pStyle w:val="ListParagraph"/>
        <w:spacing w:before="100" w:beforeAutospacing="1" w:after="100" w:afterAutospacing="1" w:line="360" w:lineRule="auto"/>
        <w:ind w:left="420"/>
        <w:rPr>
          <w:rFonts w:eastAsia="Times New Roman" w:cstheme="minorHAnsi"/>
        </w:rPr>
      </w:pPr>
      <w:r w:rsidRPr="00B80A90">
        <w:rPr>
          <w:rFonts w:eastAsia="Times New Roman" w:cstheme="minorHAnsi"/>
        </w:rPr>
        <w:t>To describe the standard procedure for identifying, screening, reviewing, and processing safety information from scientific and medical literature relevant to the products marketed or distributed by Biomedical Limited.</w:t>
      </w:r>
    </w:p>
    <w:p w:rsidR="00B80A90" w:rsidRPr="00B80A90" w:rsidRDefault="00B80A90" w:rsidP="00B80A90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B80A90">
        <w:rPr>
          <w:rFonts w:cstheme="minorHAnsi"/>
          <w:b/>
        </w:rPr>
        <w:t>SCOPE:</w:t>
      </w:r>
    </w:p>
    <w:p w:rsidR="00B80A90" w:rsidRPr="00B80A90" w:rsidRDefault="00B80A90" w:rsidP="00B80A90">
      <w:pPr>
        <w:spacing w:after="0" w:line="360" w:lineRule="auto"/>
        <w:ind w:left="420"/>
        <w:rPr>
          <w:rFonts w:cstheme="minorHAnsi"/>
        </w:rPr>
      </w:pPr>
      <w:r w:rsidRPr="00B80A90">
        <w:rPr>
          <w:rFonts w:eastAsia="Times New Roman" w:cstheme="minorHAnsi"/>
        </w:rPr>
        <w:t xml:space="preserve">This SOP applies to all literature monitoring activities performed by the </w:t>
      </w:r>
      <w:proofErr w:type="spellStart"/>
      <w:r w:rsidRPr="00B80A90">
        <w:rPr>
          <w:rFonts w:eastAsia="Times New Roman" w:cstheme="minorHAnsi"/>
        </w:rPr>
        <w:t>Pharmacovigilance</w:t>
      </w:r>
      <w:proofErr w:type="spellEnd"/>
      <w:r w:rsidRPr="00B80A90">
        <w:rPr>
          <w:rFonts w:eastAsia="Times New Roman" w:cstheme="minorHAnsi"/>
        </w:rPr>
        <w:t xml:space="preserve"> Unit of Biomedical Limited, including local and international publications relevant to product safety.</w:t>
      </w:r>
    </w:p>
    <w:p w:rsidR="00B80A90" w:rsidRPr="00B80A90" w:rsidRDefault="00B80A90" w:rsidP="00B80A90">
      <w:pPr>
        <w:pStyle w:val="ListParagraph"/>
        <w:spacing w:line="360" w:lineRule="auto"/>
        <w:ind w:left="420"/>
        <w:rPr>
          <w:rFonts w:cstheme="minorHAnsi"/>
        </w:rPr>
      </w:pPr>
    </w:p>
    <w:p w:rsidR="00B80A90" w:rsidRPr="00B80A90" w:rsidRDefault="00B80A90" w:rsidP="00B80A90">
      <w:pPr>
        <w:pStyle w:val="ListParagraph"/>
        <w:numPr>
          <w:ilvl w:val="0"/>
          <w:numId w:val="3"/>
        </w:numPr>
        <w:spacing w:line="360" w:lineRule="auto"/>
        <w:rPr>
          <w:rFonts w:cstheme="minorHAnsi"/>
          <w:b/>
        </w:rPr>
      </w:pPr>
      <w:r w:rsidRPr="00B80A90">
        <w:rPr>
          <w:rFonts w:cstheme="minorHAnsi"/>
          <w:b/>
        </w:rPr>
        <w:t>RESPONSIBILITY/ACCOUNTABILITY</w:t>
      </w:r>
    </w:p>
    <w:p w:rsidR="00B80A90" w:rsidRPr="00B80A90" w:rsidRDefault="00B80A90" w:rsidP="00B80A9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  <w:b/>
          <w:bCs/>
        </w:rPr>
        <w:t xml:space="preserve">QPPV (Qualified Person for </w:t>
      </w:r>
      <w:proofErr w:type="spellStart"/>
      <w:r w:rsidRPr="00B80A90">
        <w:rPr>
          <w:rFonts w:eastAsia="Times New Roman" w:cstheme="minorHAnsi"/>
          <w:b/>
          <w:bCs/>
        </w:rPr>
        <w:t>Pharmacovigilance</w:t>
      </w:r>
      <w:proofErr w:type="spellEnd"/>
      <w:r w:rsidRPr="00B80A90">
        <w:rPr>
          <w:rFonts w:eastAsia="Times New Roman" w:cstheme="minorHAnsi"/>
          <w:b/>
          <w:bCs/>
        </w:rPr>
        <w:t>)</w:t>
      </w:r>
      <w:proofErr w:type="gramStart"/>
      <w:r w:rsidRPr="00B80A90">
        <w:rPr>
          <w:rFonts w:eastAsia="Times New Roman" w:cstheme="minorHAnsi"/>
          <w:b/>
          <w:bCs/>
        </w:rPr>
        <w:t>:</w:t>
      </w:r>
      <w:proofErr w:type="gramEnd"/>
      <w:r w:rsidRPr="00B80A90">
        <w:rPr>
          <w:rFonts w:eastAsia="Times New Roman" w:cstheme="minorHAnsi"/>
        </w:rPr>
        <w:br/>
        <w:t>Oversight of literature monitoring process; final review and sign-off of safety cases.</w:t>
      </w:r>
    </w:p>
    <w:p w:rsidR="00B80A90" w:rsidRPr="00B80A90" w:rsidRDefault="00B80A90" w:rsidP="00B80A9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  <w:b/>
          <w:bCs/>
        </w:rPr>
        <w:t>PV Officer / Literature Monitor</w:t>
      </w:r>
      <w:proofErr w:type="gramStart"/>
      <w:r w:rsidRPr="00B80A90">
        <w:rPr>
          <w:rFonts w:eastAsia="Times New Roman" w:cstheme="minorHAnsi"/>
          <w:b/>
          <w:bCs/>
        </w:rPr>
        <w:t>:</w:t>
      </w:r>
      <w:proofErr w:type="gramEnd"/>
      <w:r w:rsidRPr="00B80A90">
        <w:rPr>
          <w:rFonts w:eastAsia="Times New Roman" w:cstheme="minorHAnsi"/>
        </w:rPr>
        <w:br/>
        <w:t>Conducts scheduled literature reviews, identifies relevant safety reports, and processes them.</w:t>
      </w:r>
    </w:p>
    <w:p w:rsidR="00B80A90" w:rsidRPr="00B80A90" w:rsidRDefault="00B80A90" w:rsidP="00B80A9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cstheme="minorHAnsi"/>
          <w:b/>
        </w:rPr>
        <w:t>PV Investigative Team</w:t>
      </w:r>
      <w:proofErr w:type="gramStart"/>
      <w:r w:rsidRPr="00B80A90">
        <w:rPr>
          <w:rFonts w:eastAsia="Times New Roman" w:cstheme="minorHAnsi"/>
          <w:b/>
          <w:bCs/>
        </w:rPr>
        <w:t>:</w:t>
      </w:r>
      <w:proofErr w:type="gramEnd"/>
      <w:r w:rsidRPr="00B80A90">
        <w:rPr>
          <w:rFonts w:eastAsia="Times New Roman" w:cstheme="minorHAnsi"/>
        </w:rPr>
        <w:br/>
        <w:t>Provides clinical assessment of safety cases found in literature.</w:t>
      </w:r>
    </w:p>
    <w:p w:rsidR="00B80A90" w:rsidRPr="00B80A90" w:rsidRDefault="00B80A90" w:rsidP="00B80A90">
      <w:pPr>
        <w:pStyle w:val="ListParagraph"/>
        <w:spacing w:line="360" w:lineRule="auto"/>
        <w:ind w:left="0"/>
        <w:rPr>
          <w:rFonts w:cstheme="minorHAnsi"/>
          <w:b/>
        </w:rPr>
      </w:pPr>
    </w:p>
    <w:p w:rsidR="00B80A90" w:rsidRPr="00B80A90" w:rsidRDefault="00B80A90" w:rsidP="00B80A90">
      <w:pPr>
        <w:pStyle w:val="ListParagraph"/>
        <w:spacing w:line="360" w:lineRule="auto"/>
        <w:ind w:left="0"/>
        <w:rPr>
          <w:rFonts w:cstheme="minorHAnsi"/>
          <w:b/>
        </w:rPr>
      </w:pPr>
      <w:r w:rsidRPr="00B80A90">
        <w:rPr>
          <w:rFonts w:cstheme="minorHAnsi"/>
          <w:b/>
        </w:rPr>
        <w:t>4.0 ABBREVIATIONS AND DEFINITIONS</w:t>
      </w:r>
      <w:r w:rsidRPr="00B80A90">
        <w:rPr>
          <w:rFonts w:cstheme="minorHAnsi"/>
          <w:b/>
        </w:rPr>
        <w:tab/>
      </w:r>
    </w:p>
    <w:p w:rsidR="00B80A90" w:rsidRPr="00B80A90" w:rsidRDefault="00B80A90" w:rsidP="00B80A9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  <w:b/>
          <w:bCs/>
        </w:rPr>
        <w:t>Literature Monitoring</w:t>
      </w:r>
      <w:proofErr w:type="gramStart"/>
      <w:r w:rsidRPr="00B80A90">
        <w:rPr>
          <w:rFonts w:eastAsia="Times New Roman" w:cstheme="minorHAnsi"/>
          <w:b/>
          <w:bCs/>
        </w:rPr>
        <w:t>:</w:t>
      </w:r>
      <w:proofErr w:type="gramEnd"/>
      <w:r w:rsidRPr="00B80A90">
        <w:rPr>
          <w:rFonts w:eastAsia="Times New Roman" w:cstheme="minorHAnsi"/>
        </w:rPr>
        <w:br/>
        <w:t>The systematic review of scientific and medical publications to identify safety data related to the company’s products.</w:t>
      </w:r>
    </w:p>
    <w:p w:rsidR="00B80A90" w:rsidRPr="00B80A90" w:rsidRDefault="00B80A90" w:rsidP="00B80A9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  <w:b/>
          <w:bCs/>
        </w:rPr>
        <w:t>Indexed Literature</w:t>
      </w:r>
      <w:proofErr w:type="gramStart"/>
      <w:r w:rsidRPr="00B80A90">
        <w:rPr>
          <w:rFonts w:eastAsia="Times New Roman" w:cstheme="minorHAnsi"/>
          <w:b/>
          <w:bCs/>
        </w:rPr>
        <w:t>:</w:t>
      </w:r>
      <w:proofErr w:type="gramEnd"/>
      <w:r w:rsidRPr="00B80A90">
        <w:rPr>
          <w:rFonts w:eastAsia="Times New Roman" w:cstheme="minorHAnsi"/>
        </w:rPr>
        <w:br/>
        <w:t xml:space="preserve">Articles listed in bibliographic databases such as PubMed, Medline, </w:t>
      </w:r>
      <w:proofErr w:type="spellStart"/>
      <w:r w:rsidRPr="00B80A90">
        <w:rPr>
          <w:rFonts w:eastAsia="Times New Roman" w:cstheme="minorHAnsi"/>
        </w:rPr>
        <w:t>Embase</w:t>
      </w:r>
      <w:proofErr w:type="spellEnd"/>
      <w:r w:rsidRPr="00B80A90">
        <w:rPr>
          <w:rFonts w:eastAsia="Times New Roman" w:cstheme="minorHAnsi"/>
        </w:rPr>
        <w:t>, etc.</w:t>
      </w:r>
    </w:p>
    <w:p w:rsidR="00B80A90" w:rsidRPr="00B80A90" w:rsidRDefault="00B80A90" w:rsidP="00B80A9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  <w:b/>
          <w:bCs/>
        </w:rPr>
        <w:lastRenderedPageBreak/>
        <w:t>Local Literature</w:t>
      </w:r>
      <w:proofErr w:type="gramStart"/>
      <w:r w:rsidRPr="00B80A90">
        <w:rPr>
          <w:rFonts w:eastAsia="Times New Roman" w:cstheme="minorHAnsi"/>
          <w:b/>
          <w:bCs/>
        </w:rPr>
        <w:t>:</w:t>
      </w:r>
      <w:proofErr w:type="gramEnd"/>
      <w:r w:rsidRPr="00B80A90">
        <w:rPr>
          <w:rFonts w:eastAsia="Times New Roman" w:cstheme="minorHAnsi"/>
        </w:rPr>
        <w:br/>
        <w:t>Nigerian journals and medical bulletins not indexed in global databases.</w:t>
      </w:r>
    </w:p>
    <w:p w:rsidR="00B80A90" w:rsidRPr="00B80A90" w:rsidRDefault="00B80A90" w:rsidP="00B80A9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  <w:b/>
          <w:bCs/>
        </w:rPr>
        <w:t>Individual Case Safety Report (ICSR)</w:t>
      </w:r>
      <w:proofErr w:type="gramStart"/>
      <w:r w:rsidRPr="00B80A90">
        <w:rPr>
          <w:rFonts w:eastAsia="Times New Roman" w:cstheme="minorHAnsi"/>
          <w:b/>
          <w:bCs/>
        </w:rPr>
        <w:t>:</w:t>
      </w:r>
      <w:proofErr w:type="gramEnd"/>
      <w:r w:rsidRPr="00B80A90">
        <w:rPr>
          <w:rFonts w:eastAsia="Times New Roman" w:cstheme="minorHAnsi"/>
        </w:rPr>
        <w:br/>
        <w:t>A report that includes at least four minimum criteria: an identifiable patient, identifiable reporter, suspected product, and an adverse event.</w:t>
      </w:r>
    </w:p>
    <w:p w:rsidR="00B80A90" w:rsidRPr="00B80A90" w:rsidRDefault="00B80A90" w:rsidP="00B80A90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</w:rPr>
      </w:pPr>
      <w:r w:rsidRPr="00B80A90">
        <w:rPr>
          <w:rFonts w:cstheme="minorHAnsi"/>
          <w:b/>
        </w:rPr>
        <w:t>PROCEDURE:</w:t>
      </w:r>
    </w:p>
    <w:p w:rsidR="00B80A90" w:rsidRPr="00B80A90" w:rsidRDefault="00B80A90" w:rsidP="00B80A90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</w:rPr>
      </w:pPr>
      <w:r w:rsidRPr="00B80A90">
        <w:rPr>
          <w:rFonts w:eastAsia="Times New Roman" w:cstheme="minorHAnsi"/>
          <w:b/>
          <w:bCs/>
        </w:rPr>
        <w:t>5.1 Search Strategy</w:t>
      </w:r>
    </w:p>
    <w:p w:rsidR="00B80A90" w:rsidRPr="00B80A90" w:rsidRDefault="00B80A90" w:rsidP="00B80A9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>Develop product-specific search terms and Boolean strings.</w:t>
      </w:r>
    </w:p>
    <w:p w:rsidR="00B80A90" w:rsidRPr="00B80A90" w:rsidRDefault="00B80A90" w:rsidP="00B80A9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>Include product name, active ingredient, synonyms, and common adverse events.</w:t>
      </w:r>
    </w:p>
    <w:p w:rsidR="00B80A90" w:rsidRPr="00B80A90" w:rsidRDefault="00B80A90" w:rsidP="00B80A9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>Update search terms annually or as needed.</w:t>
      </w:r>
    </w:p>
    <w:p w:rsidR="00B80A90" w:rsidRPr="00B80A90" w:rsidRDefault="00B80A90" w:rsidP="00B80A90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</w:rPr>
      </w:pPr>
      <w:r w:rsidRPr="00B80A90">
        <w:rPr>
          <w:rFonts w:eastAsia="Times New Roman" w:cstheme="minorHAnsi"/>
          <w:b/>
          <w:bCs/>
        </w:rPr>
        <w:t>5.2 Databases and Sources</w:t>
      </w:r>
    </w:p>
    <w:p w:rsidR="00B80A90" w:rsidRPr="00B80A90" w:rsidRDefault="00B80A90" w:rsidP="00B80A9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  <w:b/>
          <w:bCs/>
        </w:rPr>
        <w:t>Global Sources:</w:t>
      </w:r>
      <w:r w:rsidRPr="00B80A90">
        <w:rPr>
          <w:rFonts w:eastAsia="Times New Roman" w:cstheme="minorHAnsi"/>
        </w:rPr>
        <w:t xml:space="preserve"> PubMed, </w:t>
      </w:r>
      <w:proofErr w:type="spellStart"/>
      <w:r w:rsidRPr="00B80A90">
        <w:rPr>
          <w:rFonts w:eastAsia="Times New Roman" w:cstheme="minorHAnsi"/>
        </w:rPr>
        <w:t>Embase</w:t>
      </w:r>
      <w:proofErr w:type="spellEnd"/>
      <w:r w:rsidRPr="00B80A90">
        <w:rPr>
          <w:rFonts w:eastAsia="Times New Roman" w:cstheme="minorHAnsi"/>
        </w:rPr>
        <w:t>, Google Scholar</w:t>
      </w:r>
    </w:p>
    <w:p w:rsidR="00B80A90" w:rsidRPr="00B80A90" w:rsidRDefault="00B80A90" w:rsidP="00B80A9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  <w:b/>
          <w:bCs/>
        </w:rPr>
        <w:t>Local Sources:</w:t>
      </w:r>
      <w:r w:rsidRPr="00B80A90">
        <w:rPr>
          <w:rFonts w:eastAsia="Times New Roman" w:cstheme="minorHAnsi"/>
        </w:rPr>
        <w:t xml:space="preserve"> Nigerian Journal of Clinical Practice, West African Journal of Medicine, NAFDAC Safety Bulletin</w:t>
      </w:r>
    </w:p>
    <w:p w:rsidR="00B80A90" w:rsidRPr="00B80A90" w:rsidRDefault="00B80A90" w:rsidP="00B80A9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  <w:b/>
          <w:bCs/>
        </w:rPr>
        <w:t>Additional:</w:t>
      </w:r>
      <w:r w:rsidRPr="00B80A90">
        <w:rPr>
          <w:rFonts w:eastAsia="Times New Roman" w:cstheme="minorHAnsi"/>
        </w:rPr>
        <w:t xml:space="preserve"> Health blogs or newsletters where applicable</w:t>
      </w:r>
    </w:p>
    <w:p w:rsidR="00B80A90" w:rsidRPr="00B80A90" w:rsidRDefault="00B80A90" w:rsidP="003D4351">
      <w:pPr>
        <w:spacing w:after="0" w:line="360" w:lineRule="auto"/>
        <w:outlineLvl w:val="2"/>
        <w:rPr>
          <w:rFonts w:eastAsia="Times New Roman" w:cstheme="minorHAnsi"/>
          <w:b/>
          <w:bCs/>
        </w:rPr>
      </w:pPr>
      <w:r w:rsidRPr="00B80A90">
        <w:rPr>
          <w:rFonts w:eastAsia="Times New Roman" w:cstheme="minorHAnsi"/>
          <w:b/>
          <w:bCs/>
        </w:rPr>
        <w:t>5.3 Frequency</w:t>
      </w:r>
    </w:p>
    <w:p w:rsidR="00B80A90" w:rsidRPr="00B80A90" w:rsidRDefault="00B80A90" w:rsidP="003D4351">
      <w:pPr>
        <w:numPr>
          <w:ilvl w:val="0"/>
          <w:numId w:val="13"/>
        </w:numPr>
        <w:spacing w:after="0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  <w:b/>
          <w:bCs/>
        </w:rPr>
        <w:t>Global literature:</w:t>
      </w:r>
      <w:r w:rsidRPr="00B80A90">
        <w:rPr>
          <w:rFonts w:eastAsia="Times New Roman" w:cstheme="minorHAnsi"/>
        </w:rPr>
        <w:t xml:space="preserve"> Weekly</w:t>
      </w:r>
    </w:p>
    <w:p w:rsidR="00B80A90" w:rsidRPr="00B80A90" w:rsidRDefault="00B80A90" w:rsidP="00B80A9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  <w:b/>
          <w:bCs/>
        </w:rPr>
        <w:t>Local journals and newsletters:</w:t>
      </w:r>
      <w:r w:rsidRPr="00B80A90">
        <w:rPr>
          <w:rFonts w:eastAsia="Times New Roman" w:cstheme="minorHAnsi"/>
        </w:rPr>
        <w:t xml:space="preserve"> Monthly</w:t>
      </w:r>
    </w:p>
    <w:p w:rsidR="00B80A90" w:rsidRPr="00B80A90" w:rsidRDefault="00B80A90" w:rsidP="00B80A9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>All searches must be documented, even if no relevant articles are found.</w:t>
      </w:r>
    </w:p>
    <w:p w:rsidR="00B80A90" w:rsidRPr="00B80A90" w:rsidRDefault="00B80A90" w:rsidP="00B80A90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</w:rPr>
      </w:pPr>
      <w:r w:rsidRPr="00B80A90">
        <w:rPr>
          <w:rFonts w:eastAsia="Times New Roman" w:cstheme="minorHAnsi"/>
          <w:b/>
          <w:bCs/>
        </w:rPr>
        <w:lastRenderedPageBreak/>
        <w:t>Literature Selection and Screening</w:t>
      </w:r>
    </w:p>
    <w:p w:rsidR="00B80A90" w:rsidRPr="00B80A90" w:rsidRDefault="00B80A90" w:rsidP="00B80A9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>Review titles and abstracts to identify potential safety-related articles.</w:t>
      </w:r>
    </w:p>
    <w:p w:rsidR="00B80A90" w:rsidRPr="00B80A90" w:rsidRDefault="00B80A90" w:rsidP="00B80A9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>Retrieve and review full-text articles for relevance.</w:t>
      </w:r>
    </w:p>
    <w:p w:rsidR="00B80A90" w:rsidRPr="003D4351" w:rsidRDefault="00B80A90" w:rsidP="003D435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>Use a checklist to confirm whether the article contains reportable ICSRs.</w:t>
      </w:r>
    </w:p>
    <w:p w:rsidR="00B80A90" w:rsidRPr="00B80A90" w:rsidRDefault="00B80A90" w:rsidP="00B80A90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</w:rPr>
      </w:pPr>
      <w:r w:rsidRPr="00B80A90">
        <w:rPr>
          <w:rFonts w:eastAsia="Times New Roman" w:cstheme="minorHAnsi"/>
          <w:b/>
          <w:bCs/>
        </w:rPr>
        <w:t>Case Handling and Reporting</w:t>
      </w:r>
    </w:p>
    <w:p w:rsidR="00B80A90" w:rsidRPr="00B80A90" w:rsidRDefault="00B80A90" w:rsidP="00B80A9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>If a valid ICSR is identified, extract information into the safety database.</w:t>
      </w:r>
    </w:p>
    <w:p w:rsidR="00B80A90" w:rsidRPr="00B80A90" w:rsidRDefault="00B80A90" w:rsidP="00B80A9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>Perform causality and seriousness assessment.</w:t>
      </w:r>
    </w:p>
    <w:p w:rsidR="00B80A90" w:rsidRPr="00B80A90" w:rsidRDefault="00B80A90" w:rsidP="00B80A9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>Submit to NAFDAC:</w:t>
      </w:r>
    </w:p>
    <w:p w:rsidR="00B80A90" w:rsidRPr="00B80A90" w:rsidRDefault="00B80A90" w:rsidP="00B80A90">
      <w:pPr>
        <w:pStyle w:val="ListParagraph"/>
        <w:numPr>
          <w:ilvl w:val="1"/>
          <w:numId w:val="15"/>
        </w:numPr>
        <w:spacing w:after="200" w:line="360" w:lineRule="auto"/>
        <w:rPr>
          <w:rFonts w:cstheme="minorHAnsi"/>
        </w:rPr>
      </w:pPr>
      <w:r w:rsidRPr="00B80A90">
        <w:rPr>
          <w:rFonts w:cstheme="minorHAnsi"/>
          <w:bCs/>
          <w:lang w:val="en-GB"/>
        </w:rPr>
        <w:t>Local reports Fatal or Life-threatening unexpected: - Notified NAFDAC within 7 calendar days followed by a complete report with 8 additional calendar days</w:t>
      </w:r>
    </w:p>
    <w:p w:rsidR="00B80A90" w:rsidRPr="00B80A90" w:rsidRDefault="00B80A90" w:rsidP="00B80A90">
      <w:pPr>
        <w:pStyle w:val="ListParagraph"/>
        <w:numPr>
          <w:ilvl w:val="1"/>
          <w:numId w:val="15"/>
        </w:numPr>
        <w:spacing w:after="200" w:line="360" w:lineRule="auto"/>
        <w:rPr>
          <w:rFonts w:cstheme="minorHAnsi"/>
        </w:rPr>
      </w:pPr>
      <w:r w:rsidRPr="00B80A90">
        <w:rPr>
          <w:rFonts w:cstheme="minorHAnsi"/>
        </w:rPr>
        <w:t xml:space="preserve"> Serious unexpected ADRs: Reported to NAFDAC within 15 calendar days</w:t>
      </w:r>
    </w:p>
    <w:p w:rsidR="00B80A90" w:rsidRPr="00B80A90" w:rsidRDefault="00B80A90" w:rsidP="00B80A90">
      <w:pPr>
        <w:pStyle w:val="ListParagraph"/>
        <w:numPr>
          <w:ilvl w:val="1"/>
          <w:numId w:val="15"/>
        </w:numPr>
        <w:spacing w:after="200" w:line="360" w:lineRule="auto"/>
        <w:rPr>
          <w:rFonts w:cstheme="minorHAnsi"/>
        </w:rPr>
      </w:pPr>
      <w:r w:rsidRPr="00B80A90">
        <w:rPr>
          <w:rFonts w:cstheme="minorHAnsi"/>
          <w:bCs/>
          <w:lang w:val="en-GB"/>
        </w:rPr>
        <w:t xml:space="preserve">Serious Expected:- </w:t>
      </w:r>
      <w:r w:rsidRPr="00B80A90">
        <w:rPr>
          <w:rFonts w:cstheme="minorHAnsi"/>
        </w:rPr>
        <w:t>Reported to NAFDAC within 30 calendar days</w:t>
      </w:r>
    </w:p>
    <w:p w:rsidR="00B80A90" w:rsidRPr="00B80A90" w:rsidRDefault="00B80A90" w:rsidP="00B80A90">
      <w:pPr>
        <w:pStyle w:val="ListParagraph"/>
        <w:numPr>
          <w:ilvl w:val="1"/>
          <w:numId w:val="15"/>
        </w:numPr>
        <w:spacing w:after="200" w:line="360" w:lineRule="auto"/>
        <w:rPr>
          <w:rFonts w:cstheme="minorHAnsi"/>
        </w:rPr>
      </w:pPr>
      <w:r w:rsidRPr="00B80A90">
        <w:rPr>
          <w:rFonts w:cstheme="minorHAnsi"/>
        </w:rPr>
        <w:t>Non-serious ADRs: Reported within 90 days</w:t>
      </w:r>
    </w:p>
    <w:p w:rsidR="00B80A90" w:rsidRPr="00B80A90" w:rsidRDefault="00B80A90" w:rsidP="00B80A9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>Archive a scanned copy or PDF of the article as source documentation.</w:t>
      </w:r>
    </w:p>
    <w:p w:rsidR="00B80A90" w:rsidRPr="00B80A90" w:rsidRDefault="00B80A90" w:rsidP="003D4351">
      <w:pPr>
        <w:spacing w:after="0" w:line="360" w:lineRule="auto"/>
        <w:outlineLvl w:val="1"/>
        <w:rPr>
          <w:rFonts w:eastAsia="Times New Roman" w:cstheme="minorHAnsi"/>
          <w:b/>
          <w:bCs/>
        </w:rPr>
      </w:pPr>
      <w:r w:rsidRPr="00B80A90">
        <w:rPr>
          <w:rFonts w:eastAsia="Times New Roman" w:cstheme="minorHAnsi"/>
          <w:b/>
          <w:bCs/>
        </w:rPr>
        <w:t>Documentation and Recordkeeping</w:t>
      </w:r>
    </w:p>
    <w:p w:rsidR="00B80A90" w:rsidRPr="00B80A90" w:rsidRDefault="00B80A90" w:rsidP="003D4351">
      <w:pPr>
        <w:numPr>
          <w:ilvl w:val="0"/>
          <w:numId w:val="16"/>
        </w:numPr>
        <w:spacing w:after="0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 xml:space="preserve">Maintain a </w:t>
      </w:r>
      <w:r w:rsidRPr="00B80A90">
        <w:rPr>
          <w:rFonts w:eastAsia="Times New Roman" w:cstheme="minorHAnsi"/>
          <w:b/>
          <w:bCs/>
        </w:rPr>
        <w:t>Literature Review Log</w:t>
      </w:r>
      <w:r w:rsidRPr="00B80A90">
        <w:rPr>
          <w:rFonts w:eastAsia="Times New Roman" w:cstheme="minorHAnsi"/>
        </w:rPr>
        <w:t xml:space="preserve"> for each review cycle.</w:t>
      </w:r>
    </w:p>
    <w:p w:rsidR="00B80A90" w:rsidRPr="00B80A90" w:rsidRDefault="00B80A90" w:rsidP="003D4351">
      <w:pPr>
        <w:numPr>
          <w:ilvl w:val="0"/>
          <w:numId w:val="16"/>
        </w:numPr>
        <w:spacing w:after="0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>Retain full copies of relevant articles and completed checklists.</w:t>
      </w:r>
    </w:p>
    <w:p w:rsidR="00B80A90" w:rsidRPr="00B80A90" w:rsidRDefault="00B80A90" w:rsidP="00B80A9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 xml:space="preserve">Keep all records for a minimum of </w:t>
      </w:r>
      <w:r w:rsidRPr="00B80A90">
        <w:rPr>
          <w:rFonts w:eastAsia="Times New Roman" w:cstheme="minorHAnsi"/>
          <w:b/>
          <w:bCs/>
        </w:rPr>
        <w:t>10 years</w:t>
      </w:r>
      <w:r w:rsidRPr="00B80A90">
        <w:rPr>
          <w:rFonts w:eastAsia="Times New Roman" w:cstheme="minorHAnsi"/>
        </w:rPr>
        <w:t>.</w:t>
      </w:r>
    </w:p>
    <w:p w:rsidR="00B80A90" w:rsidRPr="003D4351" w:rsidRDefault="00B80A90" w:rsidP="003D4351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>Backups must be stored securely.</w:t>
      </w:r>
    </w:p>
    <w:p w:rsidR="00B80A90" w:rsidRPr="00B80A90" w:rsidRDefault="00B80A90" w:rsidP="00B80A9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B80A90">
        <w:rPr>
          <w:rFonts w:cstheme="minorHAnsi"/>
          <w:b/>
        </w:rPr>
        <w:lastRenderedPageBreak/>
        <w:t>REFERENCE/ENCLOSURE</w:t>
      </w:r>
    </w:p>
    <w:p w:rsidR="00B80A90" w:rsidRPr="00B80A90" w:rsidRDefault="00B80A90" w:rsidP="00B80A90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 xml:space="preserve">WHO </w:t>
      </w:r>
      <w:proofErr w:type="spellStart"/>
      <w:r w:rsidRPr="00B80A90">
        <w:rPr>
          <w:rFonts w:eastAsia="Times New Roman" w:cstheme="minorHAnsi"/>
        </w:rPr>
        <w:t>Pharmacovigilance</w:t>
      </w:r>
      <w:proofErr w:type="spellEnd"/>
      <w:r w:rsidRPr="00B80A90">
        <w:rPr>
          <w:rFonts w:eastAsia="Times New Roman" w:cstheme="minorHAnsi"/>
        </w:rPr>
        <w:t xml:space="preserve"> Guidelines</w:t>
      </w:r>
    </w:p>
    <w:p w:rsidR="00B80A90" w:rsidRPr="00B80A90" w:rsidRDefault="00B80A90" w:rsidP="00B80A90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 xml:space="preserve">NAFDAC Good </w:t>
      </w:r>
      <w:proofErr w:type="spellStart"/>
      <w:r w:rsidRPr="00B80A90">
        <w:rPr>
          <w:rFonts w:eastAsia="Times New Roman" w:cstheme="minorHAnsi"/>
        </w:rPr>
        <w:t>Pharmacovigilance</w:t>
      </w:r>
      <w:proofErr w:type="spellEnd"/>
      <w:r w:rsidRPr="00B80A90">
        <w:rPr>
          <w:rFonts w:eastAsia="Times New Roman" w:cstheme="minorHAnsi"/>
        </w:rPr>
        <w:t xml:space="preserve"> Practice (GVP) Guidelines 2021</w:t>
      </w:r>
    </w:p>
    <w:p w:rsidR="00B80A90" w:rsidRPr="00B80A90" w:rsidRDefault="00B80A90" w:rsidP="00B80A90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 xml:space="preserve">ICH E2E: </w:t>
      </w:r>
      <w:proofErr w:type="spellStart"/>
      <w:r w:rsidRPr="00B80A90">
        <w:rPr>
          <w:rFonts w:eastAsia="Times New Roman" w:cstheme="minorHAnsi"/>
        </w:rPr>
        <w:t>Pharmacovigilance</w:t>
      </w:r>
      <w:proofErr w:type="spellEnd"/>
      <w:r w:rsidRPr="00B80A90">
        <w:rPr>
          <w:rFonts w:eastAsia="Times New Roman" w:cstheme="minorHAnsi"/>
        </w:rPr>
        <w:t xml:space="preserve"> Planning</w:t>
      </w:r>
    </w:p>
    <w:p w:rsidR="00B80A90" w:rsidRPr="00B80A90" w:rsidRDefault="00B80A90" w:rsidP="00B80A90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>Literature review log- BML-MDG-PV-003-F01</w:t>
      </w:r>
    </w:p>
    <w:p w:rsidR="00B80A90" w:rsidRPr="003D4351" w:rsidRDefault="00B80A90" w:rsidP="003D4351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80A90">
        <w:rPr>
          <w:rFonts w:eastAsia="Times New Roman" w:cstheme="minorHAnsi"/>
        </w:rPr>
        <w:t>Literature review checklist- BML-MDG-PV-003-F02</w:t>
      </w:r>
    </w:p>
    <w:p w:rsidR="00B80A90" w:rsidRPr="00B80A90" w:rsidRDefault="00B80A90" w:rsidP="00B80A9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B80A90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B80A90" w:rsidRPr="00B80A90" w:rsidTr="001317E1">
        <w:trPr>
          <w:trHeight w:val="261"/>
        </w:trPr>
        <w:tc>
          <w:tcPr>
            <w:tcW w:w="4644" w:type="dxa"/>
            <w:shd w:val="clear" w:color="auto" w:fill="FFFFFF"/>
          </w:tcPr>
          <w:p w:rsidR="00B80A90" w:rsidRPr="00B80A90" w:rsidRDefault="00B80A90" w:rsidP="00B80A90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bookmarkStart w:id="0" w:name="_Hlk175640267"/>
            <w:r w:rsidRPr="00B80A90">
              <w:rPr>
                <w:rFonts w:cstheme="minorHAnsi"/>
                <w:bCs/>
                <w:snapToGrid w:val="0"/>
              </w:rPr>
              <w:t>Marketing Manager</w:t>
            </w:r>
          </w:p>
        </w:tc>
        <w:tc>
          <w:tcPr>
            <w:tcW w:w="4644" w:type="dxa"/>
            <w:shd w:val="clear" w:color="auto" w:fill="FFFFFF"/>
          </w:tcPr>
          <w:p w:rsidR="00B80A90" w:rsidRPr="00B80A90" w:rsidRDefault="00B80A90" w:rsidP="00B80A90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B80A90">
              <w:rPr>
                <w:rFonts w:cstheme="minorHAnsi"/>
                <w:bCs/>
                <w:snapToGrid w:val="0"/>
              </w:rPr>
              <w:t>Marketers, Sales Representatives.</w:t>
            </w:r>
          </w:p>
        </w:tc>
      </w:tr>
      <w:tr w:rsidR="00B80A90" w:rsidRPr="00B80A90" w:rsidTr="001317E1">
        <w:trPr>
          <w:trHeight w:val="261"/>
        </w:trPr>
        <w:tc>
          <w:tcPr>
            <w:tcW w:w="4644" w:type="dxa"/>
            <w:shd w:val="clear" w:color="auto" w:fill="FFFFFF"/>
          </w:tcPr>
          <w:p w:rsidR="00B80A90" w:rsidRPr="00B80A90" w:rsidRDefault="00B80A90" w:rsidP="00B80A90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B80A90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:rsidR="00B80A90" w:rsidRPr="00B80A90" w:rsidRDefault="00B80A90" w:rsidP="00B80A90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B80A90">
              <w:rPr>
                <w:rFonts w:cstheme="minorHAnsi"/>
                <w:bCs/>
                <w:snapToGrid w:val="0"/>
              </w:rPr>
              <w:t>Production Manager</w:t>
            </w:r>
          </w:p>
        </w:tc>
      </w:tr>
      <w:bookmarkEnd w:id="0"/>
    </w:tbl>
    <w:p w:rsidR="003D4351" w:rsidRDefault="003D4351" w:rsidP="00B80A90">
      <w:pPr>
        <w:spacing w:line="360" w:lineRule="auto"/>
        <w:rPr>
          <w:rFonts w:cstheme="minorHAnsi"/>
          <w:b/>
        </w:rPr>
      </w:pPr>
    </w:p>
    <w:p w:rsidR="00B80A90" w:rsidRPr="00B80A90" w:rsidRDefault="00B80A90" w:rsidP="00B80A90">
      <w:pPr>
        <w:spacing w:line="360" w:lineRule="auto"/>
        <w:rPr>
          <w:rFonts w:cstheme="minorHAnsi"/>
          <w:b/>
        </w:rPr>
      </w:pPr>
      <w:r w:rsidRPr="00B80A90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80A90" w:rsidRPr="00B80A90" w:rsidTr="001317E1">
        <w:tc>
          <w:tcPr>
            <w:tcW w:w="2610" w:type="dxa"/>
            <w:shd w:val="clear" w:color="auto" w:fill="auto"/>
          </w:tcPr>
          <w:p w:rsidR="00B80A90" w:rsidRPr="00B80A90" w:rsidRDefault="00B80A90" w:rsidP="00B80A90">
            <w:pPr>
              <w:spacing w:line="360" w:lineRule="auto"/>
              <w:rPr>
                <w:rFonts w:eastAsia="Calibri" w:cstheme="minorHAnsi"/>
              </w:rPr>
            </w:pPr>
            <w:r w:rsidRPr="00B80A9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B80A90" w:rsidRPr="00B80A90" w:rsidRDefault="00B80A90" w:rsidP="00B80A90">
            <w:pPr>
              <w:spacing w:line="360" w:lineRule="auto"/>
              <w:rPr>
                <w:rFonts w:eastAsia="Calibri" w:cstheme="minorHAnsi"/>
              </w:rPr>
            </w:pPr>
            <w:r w:rsidRPr="00B80A90">
              <w:rPr>
                <w:rFonts w:eastAsia="Calibri" w:cstheme="minorHAnsi"/>
              </w:rPr>
              <w:t>QUALITY ASSURANCE</w:t>
            </w:r>
          </w:p>
        </w:tc>
      </w:tr>
      <w:tr w:rsidR="00B80A90" w:rsidRPr="00B80A90" w:rsidTr="001317E1">
        <w:tc>
          <w:tcPr>
            <w:tcW w:w="2610" w:type="dxa"/>
            <w:shd w:val="clear" w:color="auto" w:fill="auto"/>
          </w:tcPr>
          <w:p w:rsidR="00B80A90" w:rsidRPr="00B80A90" w:rsidRDefault="00B80A90" w:rsidP="00B80A90">
            <w:pPr>
              <w:spacing w:line="360" w:lineRule="auto"/>
              <w:rPr>
                <w:rFonts w:eastAsia="Calibri" w:cstheme="minorHAnsi"/>
              </w:rPr>
            </w:pPr>
            <w:r w:rsidRPr="00B80A9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B80A90" w:rsidRPr="00B80A90" w:rsidRDefault="00B80A90" w:rsidP="00B80A90">
            <w:pPr>
              <w:spacing w:line="360" w:lineRule="auto"/>
              <w:rPr>
                <w:rFonts w:eastAsia="Calibri" w:cstheme="minorHAnsi"/>
              </w:rPr>
            </w:pPr>
            <w:r w:rsidRPr="00B80A90">
              <w:rPr>
                <w:rFonts w:eastAsia="Calibri" w:cstheme="minorHAnsi"/>
              </w:rPr>
              <w:t>MARKETING AND PRODUCTION</w:t>
            </w:r>
          </w:p>
        </w:tc>
      </w:tr>
    </w:tbl>
    <w:p w:rsidR="00B80A90" w:rsidRPr="00B80A90" w:rsidRDefault="00B80A90" w:rsidP="00B80A90">
      <w:pPr>
        <w:spacing w:line="360" w:lineRule="auto"/>
        <w:rPr>
          <w:rFonts w:cstheme="minorHAnsi"/>
          <w:b/>
        </w:rPr>
      </w:pPr>
    </w:p>
    <w:p w:rsidR="00B80A90" w:rsidRPr="00B80A90" w:rsidRDefault="00B80A90" w:rsidP="00B80A90">
      <w:pPr>
        <w:spacing w:line="360" w:lineRule="auto"/>
        <w:rPr>
          <w:rFonts w:cstheme="minorHAnsi"/>
          <w:b/>
        </w:rPr>
      </w:pPr>
      <w:r w:rsidRPr="00B80A90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B80A90" w:rsidRPr="00B80A90" w:rsidTr="001317E1">
        <w:tc>
          <w:tcPr>
            <w:tcW w:w="2547" w:type="dxa"/>
            <w:shd w:val="clear" w:color="auto" w:fill="auto"/>
          </w:tcPr>
          <w:p w:rsidR="00B80A90" w:rsidRPr="00B80A90" w:rsidRDefault="00B80A90" w:rsidP="00B80A90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1" w:name="_Hlk175640331"/>
            <w:r w:rsidRPr="00B80A9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B80A90" w:rsidRPr="00B80A90" w:rsidRDefault="00B80A90" w:rsidP="00B80A90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80A9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B80A90" w:rsidRPr="00B80A90" w:rsidRDefault="00B80A90" w:rsidP="00B80A90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80A9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B80A90" w:rsidRPr="00B80A90" w:rsidTr="001317E1">
        <w:tc>
          <w:tcPr>
            <w:tcW w:w="2547" w:type="dxa"/>
            <w:shd w:val="clear" w:color="auto" w:fill="auto"/>
          </w:tcPr>
          <w:p w:rsidR="00B80A90" w:rsidRPr="00B80A90" w:rsidRDefault="00B80A90" w:rsidP="00B80A90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B80A90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B80A90" w:rsidRPr="00B80A90" w:rsidRDefault="00B80A90" w:rsidP="00B80A90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B80A90">
              <w:rPr>
                <w:rFonts w:cstheme="minorHAnsi"/>
                <w:color w:val="auto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B80A90" w:rsidRPr="00B80A90" w:rsidRDefault="00B80A90" w:rsidP="00B80A90">
            <w:pPr>
              <w:spacing w:line="360" w:lineRule="auto"/>
              <w:ind w:right="992"/>
              <w:rPr>
                <w:rFonts w:eastAsia="Calibri" w:cstheme="minorHAnsi"/>
              </w:rPr>
            </w:pPr>
            <w:r w:rsidRPr="00B80A90">
              <w:rPr>
                <w:rFonts w:eastAsia="Calibri" w:cstheme="minorHAnsi"/>
              </w:rPr>
              <w:t>First Version</w:t>
            </w:r>
          </w:p>
        </w:tc>
      </w:tr>
    </w:tbl>
    <w:p w:rsidR="00477F71" w:rsidRPr="00B80A90" w:rsidRDefault="003479ED" w:rsidP="00B80A90">
      <w:pPr>
        <w:spacing w:line="360" w:lineRule="auto"/>
        <w:rPr>
          <w:rFonts w:cstheme="minorHAnsi"/>
        </w:rPr>
      </w:pPr>
      <w:bookmarkStart w:id="2" w:name="_GoBack"/>
      <w:bookmarkEnd w:id="1"/>
      <w:bookmarkEnd w:id="2"/>
    </w:p>
    <w:sectPr w:rsidR="00477F71" w:rsidRPr="00B80A90" w:rsidSect="008F6D1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79ED" w:rsidRDefault="003479ED" w:rsidP="00B80A90">
      <w:pPr>
        <w:spacing w:after="0" w:line="240" w:lineRule="auto"/>
      </w:pPr>
      <w:r>
        <w:separator/>
      </w:r>
    </w:p>
  </w:endnote>
  <w:endnote w:type="continuationSeparator" w:id="0">
    <w:p w:rsidR="003479ED" w:rsidRDefault="003479ED" w:rsidP="00B80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BA2D8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E11A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E11A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3479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79ED" w:rsidRDefault="003479ED" w:rsidP="00B80A90">
      <w:pPr>
        <w:spacing w:after="0" w:line="240" w:lineRule="auto"/>
      </w:pPr>
      <w:r>
        <w:separator/>
      </w:r>
    </w:p>
  </w:footnote>
  <w:footnote w:type="continuationSeparator" w:id="0">
    <w:p w:rsidR="003479ED" w:rsidRDefault="003479ED" w:rsidP="00B80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3479ED" w:rsidP="007748DE">
    <w:pPr>
      <w:pStyle w:val="Header"/>
    </w:pPr>
  </w:p>
  <w:tbl>
    <w:tblPr>
      <w:tblW w:w="11014" w:type="dxa"/>
      <w:tblInd w:w="-79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440"/>
      <w:gridCol w:w="2340"/>
      <w:gridCol w:w="3634"/>
      <w:gridCol w:w="1980"/>
      <w:gridCol w:w="1620"/>
    </w:tblGrid>
    <w:tr w:rsidR="007748DE" w:rsidRPr="00565BDB" w:rsidTr="003054D7">
      <w:trPr>
        <w:trHeight w:val="651"/>
      </w:trPr>
      <w:tc>
        <w:tcPr>
          <w:tcW w:w="1440" w:type="dxa"/>
          <w:vMerge w:val="restart"/>
          <w:shd w:val="clear" w:color="auto" w:fill="auto"/>
        </w:tcPr>
        <w:p w:rsidR="00A30277" w:rsidRPr="00565BDB" w:rsidRDefault="00BA2D89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65096C5" wp14:editId="7CB4C0A1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54" w:type="dxa"/>
          <w:gridSpan w:val="3"/>
          <w:shd w:val="clear" w:color="auto" w:fill="auto"/>
        </w:tcPr>
        <w:p w:rsidR="00A30277" w:rsidRPr="00565BDB" w:rsidRDefault="00BA2D89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BA2D89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3054D7">
      <w:trPr>
        <w:trHeight w:val="650"/>
      </w:trPr>
      <w:tc>
        <w:tcPr>
          <w:tcW w:w="1440" w:type="dxa"/>
          <w:vMerge/>
          <w:shd w:val="clear" w:color="auto" w:fill="auto"/>
        </w:tcPr>
        <w:p w:rsidR="00A30277" w:rsidRPr="00565BDB" w:rsidRDefault="003479ED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954" w:type="dxa"/>
          <w:gridSpan w:val="3"/>
          <w:shd w:val="clear" w:color="auto" w:fill="auto"/>
        </w:tcPr>
        <w:p w:rsidR="00A30277" w:rsidRPr="00565BDB" w:rsidRDefault="00BA2D89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B80A90">
            <w:rPr>
              <w:rFonts w:ascii="Calibri" w:eastAsia="Calibri" w:hAnsi="Calibri"/>
              <w:b/>
              <w:sz w:val="28"/>
              <w:szCs w:val="28"/>
            </w:rPr>
            <w:t>Literature monitoring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3479ED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3054D7">
      <w:trPr>
        <w:trHeight w:val="171"/>
      </w:trPr>
      <w:tc>
        <w:tcPr>
          <w:tcW w:w="1440" w:type="dxa"/>
          <w:vMerge w:val="restart"/>
          <w:shd w:val="clear" w:color="auto" w:fill="auto"/>
        </w:tcPr>
        <w:p w:rsidR="00A30277" w:rsidRPr="00565BDB" w:rsidRDefault="00BA2D89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340" w:type="dxa"/>
          <w:vMerge w:val="restart"/>
          <w:shd w:val="clear" w:color="auto" w:fill="auto"/>
        </w:tcPr>
        <w:p w:rsidR="00A30277" w:rsidRPr="00565BDB" w:rsidRDefault="00BA2D89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34" w:type="dxa"/>
          <w:vMerge w:val="restart"/>
          <w:shd w:val="clear" w:color="auto" w:fill="auto"/>
        </w:tcPr>
        <w:p w:rsidR="00A30277" w:rsidRPr="008B0D03" w:rsidRDefault="003479ED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BA2D89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BML-MDG-PV-00</w:t>
          </w:r>
          <w:r w:rsidR="00B80A90">
            <w:rPr>
              <w:rFonts w:ascii="Calibri" w:eastAsia="Calibri" w:hAnsi="Calibri"/>
              <w:b/>
              <w:bCs/>
              <w:sz w:val="28"/>
              <w:szCs w:val="28"/>
            </w:rPr>
            <w:t>3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BA2D89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BA2D89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00</w:t>
          </w:r>
        </w:p>
      </w:tc>
    </w:tr>
    <w:tr w:rsidR="007748DE" w:rsidRPr="00565BDB" w:rsidTr="003054D7">
      <w:trPr>
        <w:trHeight w:val="170"/>
      </w:trPr>
      <w:tc>
        <w:tcPr>
          <w:tcW w:w="1440" w:type="dxa"/>
          <w:vMerge/>
          <w:shd w:val="clear" w:color="auto" w:fill="auto"/>
        </w:tcPr>
        <w:p w:rsidR="00A30277" w:rsidRPr="00565BDB" w:rsidRDefault="003479ED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340" w:type="dxa"/>
          <w:vMerge/>
          <w:shd w:val="clear" w:color="auto" w:fill="auto"/>
        </w:tcPr>
        <w:p w:rsidR="00A30277" w:rsidRPr="00565BDB" w:rsidRDefault="003479ED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34" w:type="dxa"/>
          <w:vMerge/>
          <w:shd w:val="clear" w:color="auto" w:fill="auto"/>
        </w:tcPr>
        <w:p w:rsidR="00A30277" w:rsidRPr="00565BDB" w:rsidRDefault="003479ED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BA2D89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3D4351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="00BA2D89" w:rsidRPr="00565BDB">
            <w:rPr>
              <w:rFonts w:ascii="Calibri" w:eastAsia="Calibri" w:hAnsi="Calibri"/>
              <w:b/>
            </w:rPr>
            <w:t>, 202</w:t>
          </w:r>
          <w:r w:rsidR="00BA2D89"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3054D7">
      <w:trPr>
        <w:trHeight w:val="334"/>
      </w:trPr>
      <w:tc>
        <w:tcPr>
          <w:tcW w:w="1440" w:type="dxa"/>
          <w:shd w:val="clear" w:color="auto" w:fill="auto"/>
        </w:tcPr>
        <w:p w:rsidR="00A30277" w:rsidRPr="00565BDB" w:rsidRDefault="00BA2D89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MARKETING</w:t>
          </w:r>
        </w:p>
      </w:tc>
      <w:tc>
        <w:tcPr>
          <w:tcW w:w="2340" w:type="dxa"/>
          <w:shd w:val="clear" w:color="auto" w:fill="auto"/>
        </w:tcPr>
        <w:p w:rsidR="00A30277" w:rsidRPr="00565BDB" w:rsidRDefault="00BA2D89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PHARMACOVIGILANCE</w:t>
          </w:r>
        </w:p>
      </w:tc>
      <w:tc>
        <w:tcPr>
          <w:tcW w:w="3634" w:type="dxa"/>
          <w:vMerge/>
          <w:shd w:val="clear" w:color="auto" w:fill="auto"/>
        </w:tcPr>
        <w:p w:rsidR="00A30277" w:rsidRPr="00565BDB" w:rsidRDefault="003479ED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BA2D89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3D4351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June</w:t>
          </w:r>
          <w:r w:rsidR="00BA2D89" w:rsidRPr="00565BDB">
            <w:rPr>
              <w:rFonts w:ascii="Calibri" w:eastAsia="Calibri" w:hAnsi="Calibri"/>
              <w:b/>
            </w:rPr>
            <w:t>, 202</w:t>
          </w:r>
          <w:r w:rsidR="00BA2D89"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3054D7">
      <w:trPr>
        <w:trHeight w:val="479"/>
      </w:trPr>
      <w:tc>
        <w:tcPr>
          <w:tcW w:w="3780" w:type="dxa"/>
          <w:gridSpan w:val="2"/>
          <w:shd w:val="clear" w:color="auto" w:fill="auto"/>
        </w:tcPr>
        <w:p w:rsidR="00A30277" w:rsidRPr="00565BDB" w:rsidRDefault="00BA2D89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634" w:type="dxa"/>
          <w:shd w:val="clear" w:color="auto" w:fill="auto"/>
        </w:tcPr>
        <w:p w:rsidR="00A30277" w:rsidRPr="00565BDB" w:rsidRDefault="00BA2D89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BA2D89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3054D7">
      <w:trPr>
        <w:trHeight w:val="479"/>
      </w:trPr>
      <w:tc>
        <w:tcPr>
          <w:tcW w:w="3780" w:type="dxa"/>
          <w:gridSpan w:val="2"/>
          <w:shd w:val="clear" w:color="auto" w:fill="auto"/>
        </w:tcPr>
        <w:p w:rsidR="00A30277" w:rsidRPr="00565BDB" w:rsidRDefault="00BA2D89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34" w:type="dxa"/>
          <w:shd w:val="clear" w:color="auto" w:fill="auto"/>
        </w:tcPr>
        <w:p w:rsidR="00A30277" w:rsidRPr="00565BDB" w:rsidRDefault="00BA2D89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BA2D89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3479ED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3479ED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3479ED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C804B8E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5AF6F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1215CAA"/>
    <w:multiLevelType w:val="multilevel"/>
    <w:tmpl w:val="7AB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177176B8"/>
    <w:multiLevelType w:val="multilevel"/>
    <w:tmpl w:val="7FCE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562107"/>
    <w:multiLevelType w:val="hybridMultilevel"/>
    <w:tmpl w:val="7A966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A42B45"/>
    <w:multiLevelType w:val="multilevel"/>
    <w:tmpl w:val="3E7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E4428E"/>
    <w:multiLevelType w:val="multilevel"/>
    <w:tmpl w:val="1DE8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326F02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>
    <w:nsid w:val="48B3346F"/>
    <w:multiLevelType w:val="multilevel"/>
    <w:tmpl w:val="7DA2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EA6B68"/>
    <w:multiLevelType w:val="hybridMultilevel"/>
    <w:tmpl w:val="8BA00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705546"/>
    <w:multiLevelType w:val="multilevel"/>
    <w:tmpl w:val="3132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D84AE2"/>
    <w:multiLevelType w:val="hybridMultilevel"/>
    <w:tmpl w:val="EB50F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3333C2"/>
    <w:multiLevelType w:val="multilevel"/>
    <w:tmpl w:val="D1E4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A05DF3"/>
    <w:multiLevelType w:val="multilevel"/>
    <w:tmpl w:val="D87A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576AB3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8950DB"/>
    <w:multiLevelType w:val="hybridMultilevel"/>
    <w:tmpl w:val="3E165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1"/>
  </w:num>
  <w:num w:numId="5">
    <w:abstractNumId w:val="0"/>
  </w:num>
  <w:num w:numId="6">
    <w:abstractNumId w:val="6"/>
  </w:num>
  <w:num w:numId="7">
    <w:abstractNumId w:val="14"/>
  </w:num>
  <w:num w:numId="8">
    <w:abstractNumId w:val="11"/>
  </w:num>
  <w:num w:numId="9">
    <w:abstractNumId w:val="12"/>
  </w:num>
  <w:num w:numId="10">
    <w:abstractNumId w:val="15"/>
  </w:num>
  <w:num w:numId="11">
    <w:abstractNumId w:val="13"/>
  </w:num>
  <w:num w:numId="12">
    <w:abstractNumId w:val="5"/>
  </w:num>
  <w:num w:numId="13">
    <w:abstractNumId w:val="16"/>
  </w:num>
  <w:num w:numId="14">
    <w:abstractNumId w:val="3"/>
  </w:num>
  <w:num w:numId="15">
    <w:abstractNumId w:val="9"/>
  </w:num>
  <w:num w:numId="16">
    <w:abstractNumId w:val="8"/>
  </w:num>
  <w:num w:numId="17">
    <w:abstractNumId w:val="7"/>
  </w:num>
  <w:num w:numId="18">
    <w:abstractNumId w:val="18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A90"/>
    <w:rsid w:val="00031104"/>
    <w:rsid w:val="00152B47"/>
    <w:rsid w:val="003479ED"/>
    <w:rsid w:val="003D4351"/>
    <w:rsid w:val="007E11AC"/>
    <w:rsid w:val="007F5161"/>
    <w:rsid w:val="00B80A90"/>
    <w:rsid w:val="00BA2D89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A9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80A90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80A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A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semiHidden/>
    <w:rsid w:val="00B80A90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80A90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B80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80A90"/>
  </w:style>
  <w:style w:type="paragraph" w:styleId="BodyTextIndent2">
    <w:name w:val="Body Text Indent 2"/>
    <w:basedOn w:val="Normal"/>
    <w:link w:val="BodyTextIndent2Char"/>
    <w:rsid w:val="00B80A9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80A9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80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A90"/>
  </w:style>
  <w:style w:type="paragraph" w:styleId="ListBullet">
    <w:name w:val="List Bullet"/>
    <w:basedOn w:val="Normal"/>
    <w:uiPriority w:val="99"/>
    <w:unhideWhenUsed/>
    <w:rsid w:val="00B80A90"/>
    <w:pPr>
      <w:numPr>
        <w:numId w:val="4"/>
      </w:numPr>
      <w:spacing w:after="200" w:line="276" w:lineRule="auto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B80A90"/>
    <w:pPr>
      <w:numPr>
        <w:numId w:val="5"/>
      </w:numPr>
      <w:spacing w:after="200" w:line="276" w:lineRule="auto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0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A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A9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80A90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80A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A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semiHidden/>
    <w:rsid w:val="00B80A90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80A90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B80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80A90"/>
  </w:style>
  <w:style w:type="paragraph" w:styleId="BodyTextIndent2">
    <w:name w:val="Body Text Indent 2"/>
    <w:basedOn w:val="Normal"/>
    <w:link w:val="BodyTextIndent2Char"/>
    <w:rsid w:val="00B80A9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80A9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80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A90"/>
  </w:style>
  <w:style w:type="paragraph" w:styleId="ListBullet">
    <w:name w:val="List Bullet"/>
    <w:basedOn w:val="Normal"/>
    <w:uiPriority w:val="99"/>
    <w:unhideWhenUsed/>
    <w:rsid w:val="00B80A90"/>
    <w:pPr>
      <w:numPr>
        <w:numId w:val="4"/>
      </w:numPr>
      <w:spacing w:after="200" w:line="276" w:lineRule="auto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B80A90"/>
    <w:pPr>
      <w:numPr>
        <w:numId w:val="5"/>
      </w:numPr>
      <w:spacing w:after="200" w:line="276" w:lineRule="auto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0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A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4</cp:revision>
  <cp:lastPrinted>2025-08-07T09:35:00Z</cp:lastPrinted>
  <dcterms:created xsi:type="dcterms:W3CDTF">2025-07-26T12:07:00Z</dcterms:created>
  <dcterms:modified xsi:type="dcterms:W3CDTF">2025-08-07T09:37:00Z</dcterms:modified>
</cp:coreProperties>
</file>