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CA5232" w14:textId="77777777" w:rsidR="00E50B24" w:rsidRPr="005575A8" w:rsidRDefault="00E50B24" w:rsidP="00E50B24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5575A8">
        <w:rPr>
          <w:rFonts w:cstheme="minorHAnsi"/>
          <w:b/>
        </w:rPr>
        <w:t>Objective:</w:t>
      </w:r>
    </w:p>
    <w:p w14:paraId="291C721C" w14:textId="096AC1E2" w:rsidR="00E50B24" w:rsidRDefault="00E50B24" w:rsidP="00E50B24">
      <w:pPr>
        <w:pStyle w:val="ListParagraph"/>
        <w:spacing w:after="0" w:line="276" w:lineRule="auto"/>
        <w:jc w:val="both"/>
        <w:rPr>
          <w:rFonts w:cs="Calibri"/>
        </w:rPr>
      </w:pPr>
      <w:r>
        <w:rPr>
          <w:rFonts w:cs="Calibri"/>
        </w:rPr>
        <w:t xml:space="preserve">To provide written guidelines for </w:t>
      </w:r>
      <w:r w:rsidRPr="001B38D4">
        <w:rPr>
          <w:rFonts w:cs="Times New Roman"/>
        </w:rPr>
        <w:t xml:space="preserve">Calibration of </w:t>
      </w:r>
      <w:r>
        <w:rPr>
          <w:rFonts w:cs="Times New Roman"/>
        </w:rPr>
        <w:t>Booth</w:t>
      </w:r>
      <w:r>
        <w:rPr>
          <w:rFonts w:cs="Calibri"/>
        </w:rPr>
        <w:t>.</w:t>
      </w:r>
    </w:p>
    <w:p w14:paraId="64D793B8" w14:textId="77777777" w:rsidR="00E50B24" w:rsidRPr="005575A8" w:rsidRDefault="00E50B24" w:rsidP="00E50B24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435267ED" w14:textId="77777777" w:rsidR="00E50B24" w:rsidRPr="005575A8" w:rsidRDefault="00E50B24" w:rsidP="00E50B24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Scope:</w:t>
      </w:r>
    </w:p>
    <w:p w14:paraId="323AA8C9" w14:textId="54D7D849" w:rsidR="00E50B24" w:rsidRDefault="00E50B24" w:rsidP="00E50B24">
      <w:pPr>
        <w:pStyle w:val="ListParagraph"/>
        <w:ind w:left="360"/>
        <w:rPr>
          <w:rFonts w:cs="Calibri"/>
        </w:rPr>
      </w:pPr>
      <w:r>
        <w:rPr>
          <w:rFonts w:cs="Calibri"/>
        </w:rPr>
        <w:t xml:space="preserve">This SOP covers the procedure for </w:t>
      </w:r>
      <w:r w:rsidRPr="001B38D4">
        <w:rPr>
          <w:rFonts w:cs="Times New Roman"/>
        </w:rPr>
        <w:t xml:space="preserve">Calibration of </w:t>
      </w:r>
      <w:r>
        <w:rPr>
          <w:rFonts w:cs="Times New Roman"/>
        </w:rPr>
        <w:t>the Booth</w:t>
      </w:r>
      <w:r w:rsidRPr="001B38D4">
        <w:rPr>
          <w:rFonts w:cs="Calibri"/>
        </w:rPr>
        <w:t>.</w:t>
      </w:r>
    </w:p>
    <w:p w14:paraId="17B4AB71" w14:textId="77777777" w:rsidR="00E50B24" w:rsidRPr="005575A8" w:rsidRDefault="00E50B24" w:rsidP="00E50B24">
      <w:pPr>
        <w:pStyle w:val="ListParagraph"/>
        <w:ind w:left="360"/>
        <w:rPr>
          <w:rFonts w:cstheme="minorHAnsi"/>
          <w:b/>
        </w:rPr>
      </w:pPr>
    </w:p>
    <w:p w14:paraId="0F69FB8B" w14:textId="77777777" w:rsidR="00E50B24" w:rsidRPr="005575A8" w:rsidRDefault="00E50B24" w:rsidP="00E50B24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5575A8">
        <w:rPr>
          <w:rFonts w:cstheme="minorHAnsi"/>
          <w:b/>
        </w:rPr>
        <w:t>Responsibility/accountability:</w:t>
      </w:r>
    </w:p>
    <w:p w14:paraId="41E393C4" w14:textId="77777777" w:rsidR="00E50B24" w:rsidRDefault="00E50B24" w:rsidP="00E50B24">
      <w:pPr>
        <w:pStyle w:val="ListParagraph"/>
        <w:ind w:left="360"/>
        <w:rPr>
          <w:rFonts w:cs="Calibri"/>
        </w:rPr>
      </w:pPr>
      <w:r>
        <w:rPr>
          <w:rFonts w:cs="Calibri"/>
        </w:rPr>
        <w:t>Laboratory Assistance, Quality Control Chemist, Quality Control Microbiologist, Quality Assurance Manager, Supt. Pharmacist.</w:t>
      </w:r>
    </w:p>
    <w:p w14:paraId="769381D9" w14:textId="77777777" w:rsidR="00E50B24" w:rsidRDefault="00E50B24" w:rsidP="00E50B24">
      <w:pPr>
        <w:pStyle w:val="ListParagraph"/>
        <w:ind w:left="360"/>
        <w:rPr>
          <w:rFonts w:cs="Calibri"/>
        </w:rPr>
      </w:pPr>
    </w:p>
    <w:p w14:paraId="0D4E4760" w14:textId="58800242" w:rsidR="00E50B24" w:rsidRPr="005575A8" w:rsidRDefault="00E50B24" w:rsidP="00E50B24">
      <w:pPr>
        <w:pStyle w:val="ListParagraph"/>
        <w:ind w:left="0"/>
        <w:rPr>
          <w:rFonts w:cstheme="minorHAnsi"/>
          <w:b/>
        </w:rPr>
      </w:pPr>
      <w:r w:rsidRPr="005575A8">
        <w:rPr>
          <w:rFonts w:cstheme="minorHAnsi"/>
          <w:b/>
        </w:rPr>
        <w:t>4.0 Abbreviations and Definitions</w:t>
      </w:r>
    </w:p>
    <w:p w14:paraId="0F14E1A7" w14:textId="77777777" w:rsidR="00E50B24" w:rsidRPr="005575A8" w:rsidRDefault="00E50B24" w:rsidP="00E50B24">
      <w:pPr>
        <w:pStyle w:val="ListParagraph"/>
        <w:ind w:left="0" w:firstLine="360"/>
        <w:rPr>
          <w:rFonts w:cstheme="minorHAnsi"/>
          <w:b/>
        </w:rPr>
      </w:pPr>
      <w:r w:rsidRPr="005575A8">
        <w:rPr>
          <w:rFonts w:cstheme="minorHAnsi"/>
          <w:b/>
        </w:rPr>
        <w:t>N/A</w:t>
      </w:r>
    </w:p>
    <w:p w14:paraId="2F218ADA" w14:textId="77777777" w:rsidR="00E50B24" w:rsidRPr="005575A8" w:rsidRDefault="00E50B24" w:rsidP="00E50B24">
      <w:pPr>
        <w:pStyle w:val="ListParagraph"/>
        <w:ind w:left="0" w:firstLine="360"/>
        <w:rPr>
          <w:rFonts w:cstheme="minorHAnsi"/>
          <w:b/>
        </w:rPr>
      </w:pPr>
    </w:p>
    <w:p w14:paraId="34D8961A" w14:textId="77777777" w:rsidR="00E50B24" w:rsidRPr="005575A8" w:rsidRDefault="00E50B24" w:rsidP="00E50B24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5575A8">
        <w:rPr>
          <w:rFonts w:cstheme="minorHAnsi"/>
          <w:b/>
        </w:rPr>
        <w:t>Procedure</w:t>
      </w:r>
      <w:bookmarkStart w:id="0" w:name="_Hlk170902440"/>
    </w:p>
    <w:p w14:paraId="56E793B4" w14:textId="77777777" w:rsidR="00E50B24" w:rsidRPr="00FD206A" w:rsidRDefault="00E50B24" w:rsidP="00E50B24">
      <w:pPr>
        <w:numPr>
          <w:ilvl w:val="0"/>
          <w:numId w:val="8"/>
        </w:numPr>
        <w:suppressAutoHyphens/>
        <w:spacing w:after="0" w:line="240" w:lineRule="auto"/>
        <w:contextualSpacing/>
        <w:jc w:val="both"/>
      </w:pPr>
      <w:r>
        <w:rPr>
          <w:rFonts w:cs="Calibri"/>
        </w:rPr>
        <w:t>Ensure the booth is thoroughly cleaned with lint-free cloth dampened with soapy water and then IPA.</w:t>
      </w:r>
    </w:p>
    <w:p w14:paraId="0D1A54FC" w14:textId="77777777" w:rsidR="00E50B24" w:rsidRPr="00B11FCC" w:rsidRDefault="00E50B24" w:rsidP="00E50B24">
      <w:pPr>
        <w:numPr>
          <w:ilvl w:val="0"/>
          <w:numId w:val="8"/>
        </w:numPr>
        <w:suppressAutoHyphens/>
        <w:spacing w:after="0" w:line="240" w:lineRule="auto"/>
        <w:contextualSpacing/>
        <w:jc w:val="both"/>
      </w:pPr>
      <w:r>
        <w:t>Plug the Booth to the power mains.</w:t>
      </w:r>
    </w:p>
    <w:p w14:paraId="463AECF0" w14:textId="77777777" w:rsidR="00E50B24" w:rsidRPr="00FD206A" w:rsidRDefault="00E50B24" w:rsidP="00E50B24">
      <w:pPr>
        <w:numPr>
          <w:ilvl w:val="0"/>
          <w:numId w:val="8"/>
        </w:numPr>
        <w:suppressAutoHyphens/>
        <w:spacing w:after="0" w:line="240" w:lineRule="auto"/>
        <w:contextualSpacing/>
        <w:jc w:val="both"/>
      </w:pPr>
      <w:r>
        <w:rPr>
          <w:rFonts w:cs="Calibri"/>
        </w:rPr>
        <w:t>Put on the booth, then the functional buttons, and allow it to stand for one hour before commencing the activity.</w:t>
      </w:r>
    </w:p>
    <w:p w14:paraId="5DA07F2A" w14:textId="77777777" w:rsidR="00E50B24" w:rsidRPr="00FD206A" w:rsidRDefault="00E50B24" w:rsidP="00E50B24">
      <w:pPr>
        <w:numPr>
          <w:ilvl w:val="0"/>
          <w:numId w:val="8"/>
        </w:numPr>
        <w:suppressAutoHyphens/>
        <w:spacing w:after="0" w:line="240" w:lineRule="auto"/>
        <w:contextualSpacing/>
        <w:jc w:val="both"/>
      </w:pPr>
      <w:r>
        <w:rPr>
          <w:rFonts w:cs="Calibri"/>
        </w:rPr>
        <w:t>Using a lux meter, take the luminosity at the work area. Record these values.</w:t>
      </w:r>
    </w:p>
    <w:p w14:paraId="713B4F23" w14:textId="77777777" w:rsidR="00E50B24" w:rsidRPr="00FD206A" w:rsidRDefault="00E50B24" w:rsidP="00E50B24">
      <w:pPr>
        <w:numPr>
          <w:ilvl w:val="0"/>
          <w:numId w:val="8"/>
        </w:numPr>
        <w:suppressAutoHyphens/>
        <w:spacing w:after="0" w:line="240" w:lineRule="auto"/>
        <w:contextualSpacing/>
        <w:jc w:val="both"/>
      </w:pPr>
      <w:r>
        <w:rPr>
          <w:rFonts w:cs="Calibri"/>
        </w:rPr>
        <w:t xml:space="preserve">Using the polyethylene, observe if there is blow and suction across the device. Take readings with an anemometer for air velocity. </w:t>
      </w:r>
    </w:p>
    <w:p w14:paraId="0B57EC9A" w14:textId="77777777" w:rsidR="00E50B24" w:rsidRDefault="00E50B24" w:rsidP="00E50B24">
      <w:pPr>
        <w:numPr>
          <w:ilvl w:val="0"/>
          <w:numId w:val="8"/>
        </w:numPr>
        <w:suppressAutoHyphens/>
        <w:spacing w:after="0" w:line="240" w:lineRule="auto"/>
        <w:contextualSpacing/>
        <w:jc w:val="both"/>
      </w:pPr>
      <w:r>
        <w:rPr>
          <w:rFonts w:cs="Calibri"/>
        </w:rPr>
        <w:t>With the aid of the fog generator containing the in-house fog solution, demonstrate suction for the booth area.</w:t>
      </w:r>
    </w:p>
    <w:p w14:paraId="471C7F3A" w14:textId="77777777" w:rsidR="00E50B24" w:rsidRDefault="00E50B24" w:rsidP="00E50B24">
      <w:pPr>
        <w:numPr>
          <w:ilvl w:val="0"/>
          <w:numId w:val="8"/>
        </w:numPr>
        <w:suppressAutoHyphens/>
        <w:spacing w:after="0" w:line="240" w:lineRule="auto"/>
        <w:contextualSpacing/>
        <w:jc w:val="both"/>
      </w:pPr>
      <w:r>
        <w:t>Take recordings where necessary and save evidence of performance verification.</w:t>
      </w:r>
    </w:p>
    <w:p w14:paraId="2B499F26" w14:textId="77777777" w:rsidR="00E50B24" w:rsidRDefault="00E50B24" w:rsidP="00E50B24">
      <w:pPr>
        <w:numPr>
          <w:ilvl w:val="0"/>
          <w:numId w:val="8"/>
        </w:numPr>
        <w:suppressAutoHyphens/>
        <w:spacing w:after="0" w:line="240" w:lineRule="auto"/>
        <w:contextualSpacing/>
        <w:jc w:val="both"/>
      </w:pPr>
      <w:r>
        <w:t xml:space="preserve">With the aid of a particle counter, take data for non-viable particle count in operation and at rest. </w:t>
      </w:r>
    </w:p>
    <w:p w14:paraId="426B4ECB" w14:textId="77777777" w:rsidR="00E50B24" w:rsidRDefault="00E50B24" w:rsidP="00E50B24">
      <w:pPr>
        <w:numPr>
          <w:ilvl w:val="0"/>
          <w:numId w:val="8"/>
        </w:numPr>
        <w:suppressAutoHyphens/>
        <w:spacing w:after="0" w:line="240" w:lineRule="auto"/>
        <w:contextualSpacing/>
        <w:jc w:val="both"/>
      </w:pPr>
      <w:r>
        <w:t>Take the active and passive air bio burden for the booth area. Have at least three datasets for this step.</w:t>
      </w:r>
    </w:p>
    <w:p w14:paraId="29BAA15B" w14:textId="77777777" w:rsidR="00E50B24" w:rsidRPr="00B11FCC" w:rsidRDefault="00E50B24" w:rsidP="00E50B24">
      <w:pPr>
        <w:spacing w:after="0" w:line="240" w:lineRule="auto"/>
        <w:ind w:left="720"/>
        <w:contextualSpacing/>
        <w:jc w:val="both"/>
      </w:pPr>
    </w:p>
    <w:p w14:paraId="77CCF134" w14:textId="77777777" w:rsidR="00E50B24" w:rsidRDefault="00E50B24" w:rsidP="00E50B24">
      <w:pPr>
        <w:suppressAutoHyphens/>
        <w:spacing w:after="200" w:line="240" w:lineRule="auto"/>
      </w:pPr>
      <w:r w:rsidRPr="00E50B24">
        <w:rPr>
          <w:rFonts w:cs="Calibri"/>
          <w:b/>
        </w:rPr>
        <w:t>Materials, Equipment, Apparatus and Reagents</w:t>
      </w:r>
    </w:p>
    <w:p w14:paraId="0C4E4D3B" w14:textId="77777777" w:rsidR="00E50B24" w:rsidRDefault="00E50B24" w:rsidP="00E50B24">
      <w:pPr>
        <w:pStyle w:val="ListParagraph"/>
        <w:spacing w:after="0" w:line="240" w:lineRule="auto"/>
        <w:rPr>
          <w:rFonts w:cs="Calibri"/>
        </w:rPr>
      </w:pPr>
      <w:r>
        <w:rPr>
          <w:rFonts w:cs="Calibri"/>
        </w:rPr>
        <w:t>Lux meter</w:t>
      </w:r>
    </w:p>
    <w:p w14:paraId="32F5954B" w14:textId="77777777" w:rsidR="00E50B24" w:rsidRDefault="00E50B24" w:rsidP="00E50B24">
      <w:pPr>
        <w:pStyle w:val="ListParagraph"/>
        <w:spacing w:after="0" w:line="240" w:lineRule="auto"/>
      </w:pPr>
      <w:r>
        <w:t>Anemometer</w:t>
      </w:r>
    </w:p>
    <w:p w14:paraId="126D3551" w14:textId="77777777" w:rsidR="00E50B24" w:rsidRDefault="00E50B24" w:rsidP="00E50B24">
      <w:pPr>
        <w:pStyle w:val="ListParagraph"/>
        <w:spacing w:after="0" w:line="240" w:lineRule="auto"/>
      </w:pPr>
      <w:r>
        <w:t>Fogger machine</w:t>
      </w:r>
    </w:p>
    <w:p w14:paraId="7C294A1A" w14:textId="77777777" w:rsidR="00E50B24" w:rsidRDefault="00E50B24" w:rsidP="00E50B24">
      <w:pPr>
        <w:spacing w:after="0" w:line="240" w:lineRule="auto"/>
      </w:pPr>
      <w:r>
        <w:rPr>
          <w:rFonts w:cs="Calibri"/>
          <w:b/>
        </w:rPr>
        <w:lastRenderedPageBreak/>
        <w:t>Safety, Health and Environment Precautions</w:t>
      </w:r>
    </w:p>
    <w:p w14:paraId="4D186FA6" w14:textId="570CB3F1" w:rsidR="00E50B24" w:rsidRPr="00831B69" w:rsidRDefault="00E50B24" w:rsidP="00E50B24">
      <w:pPr>
        <w:spacing w:after="0" w:line="240" w:lineRule="auto"/>
      </w:pPr>
      <w:r>
        <w:rPr>
          <w:rFonts w:cs="Calibri"/>
        </w:rPr>
        <w:t>Wear appropriate PPE</w:t>
      </w:r>
    </w:p>
    <w:p w14:paraId="3EFDD63A" w14:textId="77777777" w:rsidR="00E50B24" w:rsidRPr="005D00F3" w:rsidRDefault="00E50B24" w:rsidP="00E50B24">
      <w:pPr>
        <w:spacing w:after="0" w:line="240" w:lineRule="auto"/>
        <w:jc w:val="both"/>
        <w:rPr>
          <w:rFonts w:cs="Calibri"/>
          <w:b/>
        </w:rPr>
      </w:pPr>
    </w:p>
    <w:p w14:paraId="2B104012" w14:textId="77777777" w:rsidR="00E50B24" w:rsidRPr="005575A8" w:rsidRDefault="00E50B24" w:rsidP="00E50B24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REFERENCE/ENCLOSURE</w:t>
      </w:r>
      <w:bookmarkEnd w:id="0"/>
    </w:p>
    <w:p w14:paraId="2976B394" w14:textId="711492FC" w:rsidR="00E50B24" w:rsidRDefault="00E50B24" w:rsidP="00E50B24">
      <w:pPr>
        <w:pStyle w:val="ListParagraph"/>
        <w:spacing w:after="0" w:line="240" w:lineRule="auto"/>
        <w:ind w:left="360"/>
        <w:rPr>
          <w:rFonts w:cs="Calibri"/>
        </w:rPr>
      </w:pPr>
      <w:r>
        <w:rPr>
          <w:rFonts w:cs="Calibri"/>
        </w:rPr>
        <w:t>IN-HOUSE</w:t>
      </w:r>
    </w:p>
    <w:p w14:paraId="49D401B7" w14:textId="77777777" w:rsidR="00E50B24" w:rsidRPr="000943B6" w:rsidRDefault="00E50B24" w:rsidP="00E50B24">
      <w:pPr>
        <w:pStyle w:val="ListParagraph"/>
        <w:spacing w:after="0" w:line="240" w:lineRule="auto"/>
        <w:ind w:left="360"/>
      </w:pPr>
      <w:r w:rsidRPr="005D00F3">
        <w:rPr>
          <w:rFonts w:cs="Calibri"/>
        </w:rPr>
        <w:t xml:space="preserve"> </w:t>
      </w:r>
    </w:p>
    <w:p w14:paraId="6552B839" w14:textId="77777777" w:rsidR="00E50B24" w:rsidRPr="005575A8" w:rsidRDefault="00E50B24" w:rsidP="00E50B24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E50B24" w:rsidRPr="005575A8" w14:paraId="6D23E4C5" w14:textId="77777777" w:rsidTr="007E5FCA">
        <w:trPr>
          <w:trHeight w:val="261"/>
        </w:trPr>
        <w:tc>
          <w:tcPr>
            <w:tcW w:w="4644" w:type="dxa"/>
            <w:shd w:val="clear" w:color="auto" w:fill="FFFFFF"/>
          </w:tcPr>
          <w:p w14:paraId="31724E61" w14:textId="77777777" w:rsidR="00E50B24" w:rsidRPr="005575A8" w:rsidRDefault="00E50B24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0935B9C1" w14:textId="77777777" w:rsidR="00E50B24" w:rsidRPr="005575A8" w:rsidRDefault="00E50B24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E50B24" w:rsidRPr="005575A8" w14:paraId="0AD4C618" w14:textId="77777777" w:rsidTr="007E5FCA">
        <w:trPr>
          <w:trHeight w:val="276"/>
        </w:trPr>
        <w:tc>
          <w:tcPr>
            <w:tcW w:w="4644" w:type="dxa"/>
            <w:shd w:val="clear" w:color="auto" w:fill="FFFFFF"/>
          </w:tcPr>
          <w:p w14:paraId="150C5A99" w14:textId="77777777" w:rsidR="00E50B24" w:rsidRPr="005575A8" w:rsidRDefault="00E50B24" w:rsidP="007E5FCA">
            <w:pPr>
              <w:pStyle w:val="Header"/>
              <w:rPr>
                <w:rFonts w:cstheme="minorHAnsi"/>
                <w:iCs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5FC4AF8" w14:textId="77777777" w:rsidR="00E50B24" w:rsidRPr="005575A8" w:rsidRDefault="00E50B24" w:rsidP="007E5FCA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1FC02A76" w14:textId="77777777" w:rsidR="00E50B24" w:rsidRDefault="00E50B24" w:rsidP="00E50B24">
      <w:pPr>
        <w:spacing w:line="360" w:lineRule="auto"/>
        <w:rPr>
          <w:rFonts w:cstheme="minorHAnsi"/>
          <w:b/>
        </w:rPr>
      </w:pPr>
    </w:p>
    <w:p w14:paraId="2A29BCFF" w14:textId="77777777" w:rsidR="00E50B24" w:rsidRPr="005575A8" w:rsidRDefault="00E50B24" w:rsidP="00E50B24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E50B24" w:rsidRPr="005575A8" w14:paraId="02FD4408" w14:textId="77777777" w:rsidTr="007E5FCA">
        <w:tc>
          <w:tcPr>
            <w:tcW w:w="2610" w:type="dxa"/>
            <w:shd w:val="clear" w:color="auto" w:fill="auto"/>
          </w:tcPr>
          <w:p w14:paraId="1E444B18" w14:textId="77777777" w:rsidR="00E50B24" w:rsidRPr="005575A8" w:rsidRDefault="00E50B24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D01A3FF" w14:textId="77777777" w:rsidR="00E50B24" w:rsidRPr="005575A8" w:rsidRDefault="00E50B24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QUALITY ASSURANCE</w:t>
            </w:r>
          </w:p>
        </w:tc>
      </w:tr>
      <w:tr w:rsidR="00E50B24" w:rsidRPr="005575A8" w14:paraId="4ECE9EA8" w14:textId="77777777" w:rsidTr="007E5FCA">
        <w:tc>
          <w:tcPr>
            <w:tcW w:w="2610" w:type="dxa"/>
            <w:shd w:val="clear" w:color="auto" w:fill="auto"/>
          </w:tcPr>
          <w:p w14:paraId="4927AAF1" w14:textId="77777777" w:rsidR="00E50B24" w:rsidRPr="005575A8" w:rsidRDefault="00E50B24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1D5B6B3" w14:textId="77777777" w:rsidR="00E50B24" w:rsidRPr="005575A8" w:rsidRDefault="00E50B24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ALL DEPARTMENT</w:t>
            </w:r>
          </w:p>
        </w:tc>
      </w:tr>
    </w:tbl>
    <w:p w14:paraId="67A9849F" w14:textId="77777777" w:rsidR="00E50B24" w:rsidRPr="005575A8" w:rsidRDefault="00E50B24" w:rsidP="00E50B24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E50B24" w:rsidRPr="005575A8" w14:paraId="1542B528" w14:textId="77777777" w:rsidTr="007E5FCA">
        <w:tc>
          <w:tcPr>
            <w:tcW w:w="1276" w:type="dxa"/>
            <w:shd w:val="clear" w:color="auto" w:fill="auto"/>
          </w:tcPr>
          <w:p w14:paraId="6D51AFAF" w14:textId="77777777" w:rsidR="00E50B24" w:rsidRPr="005575A8" w:rsidRDefault="00E50B24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71CDCA4D" w14:textId="77777777" w:rsidR="00E50B24" w:rsidRPr="005575A8" w:rsidRDefault="00E50B24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7ED6E461" w14:textId="77777777" w:rsidR="00E50B24" w:rsidRPr="005575A8" w:rsidRDefault="00E50B24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1504598C" w14:textId="77777777" w:rsidR="00E50B24" w:rsidRPr="005575A8" w:rsidRDefault="00E50B24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62EC1085" w14:textId="77777777" w:rsidR="00E50B24" w:rsidRPr="005575A8" w:rsidRDefault="00E50B24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E50B24" w:rsidRPr="005575A8" w14:paraId="798756D3" w14:textId="77777777" w:rsidTr="007E5FCA">
        <w:tc>
          <w:tcPr>
            <w:tcW w:w="1276" w:type="dxa"/>
            <w:shd w:val="clear" w:color="auto" w:fill="auto"/>
          </w:tcPr>
          <w:p w14:paraId="3B2C7628" w14:textId="77777777" w:rsidR="00E50B24" w:rsidRPr="005575A8" w:rsidRDefault="00E50B24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33BD9FF8" w14:textId="77777777" w:rsidR="00E50B24" w:rsidRPr="005575A8" w:rsidRDefault="00E50B24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0CAEB2DB" w14:textId="77777777" w:rsidR="00E50B24" w:rsidRPr="005575A8" w:rsidRDefault="00E50B24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25103328" w14:textId="77777777" w:rsidR="00E50B24" w:rsidRPr="005575A8" w:rsidRDefault="00E50B24" w:rsidP="007E5FC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First </w:t>
            </w:r>
          </w:p>
        </w:tc>
      </w:tr>
      <w:tr w:rsidR="00E50B24" w:rsidRPr="005575A8" w14:paraId="78A5F6E9" w14:textId="77777777" w:rsidTr="007E5FCA">
        <w:tc>
          <w:tcPr>
            <w:tcW w:w="1276" w:type="dxa"/>
            <w:shd w:val="clear" w:color="auto" w:fill="auto"/>
          </w:tcPr>
          <w:p w14:paraId="581ADFED" w14:textId="77777777" w:rsidR="00E50B24" w:rsidRPr="005575A8" w:rsidRDefault="00E50B24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1A0D69EE" w14:textId="77777777" w:rsidR="00E50B24" w:rsidRPr="005575A8" w:rsidRDefault="00E50B24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0FA59958" w14:textId="77777777" w:rsidR="00E50B24" w:rsidRPr="005575A8" w:rsidRDefault="00E50B24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5EF87C30" w14:textId="77777777" w:rsidR="00E50B24" w:rsidRPr="005575A8" w:rsidRDefault="00E50B24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Inclusion of enclosures format</w:t>
            </w:r>
          </w:p>
          <w:p w14:paraId="7DC1389E" w14:textId="77777777" w:rsidR="00E50B24" w:rsidRPr="005575A8" w:rsidRDefault="00E50B24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11FE500B" w14:textId="77777777" w:rsidR="00E50B24" w:rsidRPr="005575A8" w:rsidRDefault="00E50B24" w:rsidP="00E50B24"/>
    <w:p w14:paraId="0E15303A" w14:textId="77777777" w:rsidR="002C70FE" w:rsidRDefault="002C70FE"/>
    <w:sectPr w:rsidR="002C70FE" w:rsidSect="00E50B2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F6AEEE" w14:textId="77777777" w:rsidR="00282D28" w:rsidRDefault="00282D28" w:rsidP="00E50B24">
      <w:pPr>
        <w:spacing w:after="0" w:line="240" w:lineRule="auto"/>
      </w:pPr>
      <w:r>
        <w:separator/>
      </w:r>
    </w:p>
  </w:endnote>
  <w:endnote w:type="continuationSeparator" w:id="0">
    <w:p w14:paraId="1E31CBB6" w14:textId="77777777" w:rsidR="00282D28" w:rsidRDefault="00282D28" w:rsidP="00E50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9898AA" w14:textId="77777777" w:rsidR="00282D28" w:rsidRDefault="00282D28" w:rsidP="00E50B24">
      <w:pPr>
        <w:spacing w:after="0" w:line="240" w:lineRule="auto"/>
      </w:pPr>
      <w:r>
        <w:separator/>
      </w:r>
    </w:p>
  </w:footnote>
  <w:footnote w:type="continuationSeparator" w:id="0">
    <w:p w14:paraId="2BF10638" w14:textId="77777777" w:rsidR="00282D28" w:rsidRDefault="00282D28" w:rsidP="00E50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C3C73F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-86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5AAB2B46" w14:textId="77777777" w:rsidTr="00B83B24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1ABF96D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1D954FD7" wp14:editId="0424AED8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430AF04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Biomedical Limited, No 1 Ohimege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15B1A24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37C9DD62" w14:textId="77777777" w:rsidTr="00B83B24">
      <w:trPr>
        <w:trHeight w:val="650"/>
      </w:trPr>
      <w:tc>
        <w:tcPr>
          <w:tcW w:w="2528" w:type="dxa"/>
          <w:vMerge/>
          <w:shd w:val="clear" w:color="auto" w:fill="auto"/>
        </w:tcPr>
        <w:p w14:paraId="73A80015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0F1815CD" w14:textId="56076521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for </w:t>
          </w:r>
          <w:r>
            <w:rPr>
              <w:rFonts w:ascii="Calibri" w:eastAsia="Calibri" w:hAnsi="Calibri"/>
              <w:b/>
              <w:sz w:val="28"/>
              <w:szCs w:val="28"/>
            </w:rPr>
            <w:t>Calibration</w:t>
          </w:r>
          <w:r w:rsidR="00E50B24">
            <w:rPr>
              <w:rFonts w:ascii="Calibri" w:eastAsia="Calibri" w:hAnsi="Calibri"/>
              <w:b/>
              <w:sz w:val="28"/>
              <w:szCs w:val="28"/>
            </w:rPr>
            <w:t xml:space="preserve"> Sampling/Dispensing Booth</w:t>
          </w:r>
        </w:p>
      </w:tc>
      <w:tc>
        <w:tcPr>
          <w:tcW w:w="1858" w:type="dxa"/>
          <w:vMerge/>
          <w:shd w:val="clear" w:color="auto" w:fill="auto"/>
        </w:tcPr>
        <w:p w14:paraId="2A0909C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6EE63DBD" w14:textId="77777777" w:rsidTr="00B83B24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563EBF42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403C2BD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5F6A509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0CA26BE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7</w:t>
          </w:r>
          <w:r>
            <w:rPr>
              <w:rFonts w:ascii="Calibri" w:eastAsia="Calibri" w:hAnsi="Calibri"/>
            </w:rPr>
            <w:t>1</w:t>
          </w:r>
        </w:p>
      </w:tc>
      <w:tc>
        <w:tcPr>
          <w:tcW w:w="1680" w:type="dxa"/>
          <w:shd w:val="clear" w:color="auto" w:fill="auto"/>
          <w:vAlign w:val="bottom"/>
        </w:tcPr>
        <w:p w14:paraId="4E12357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2B9ADB9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671A7632" w14:textId="77777777" w:rsidTr="00B83B24">
      <w:trPr>
        <w:trHeight w:val="170"/>
      </w:trPr>
      <w:tc>
        <w:tcPr>
          <w:tcW w:w="2528" w:type="dxa"/>
          <w:vMerge/>
          <w:shd w:val="clear" w:color="auto" w:fill="auto"/>
        </w:tcPr>
        <w:p w14:paraId="11DB635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287FA94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448CB42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64E7DC9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2E073F7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26DF6CA4" w14:textId="77777777" w:rsidTr="00B83B24">
      <w:trPr>
        <w:trHeight w:val="334"/>
      </w:trPr>
      <w:tc>
        <w:tcPr>
          <w:tcW w:w="2528" w:type="dxa"/>
          <w:shd w:val="clear" w:color="auto" w:fill="auto"/>
        </w:tcPr>
        <w:p w14:paraId="7D353E5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7EA4A7A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0DC19A9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754B81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6826783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64018EA6" w14:textId="77777777" w:rsidTr="00B83B24">
      <w:trPr>
        <w:trHeight w:val="479"/>
      </w:trPr>
      <w:tc>
        <w:tcPr>
          <w:tcW w:w="2528" w:type="dxa"/>
          <w:shd w:val="clear" w:color="auto" w:fill="auto"/>
        </w:tcPr>
        <w:p w14:paraId="6457970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0F4AFF3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4B2E39A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4767610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4ACC2A38" w14:textId="77777777" w:rsidTr="00B83B24">
      <w:trPr>
        <w:trHeight w:val="479"/>
      </w:trPr>
      <w:tc>
        <w:tcPr>
          <w:tcW w:w="2528" w:type="dxa"/>
          <w:shd w:val="clear" w:color="auto" w:fill="auto"/>
        </w:tcPr>
        <w:p w14:paraId="2ACA58F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2FC49DD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24E89A0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0A69AC4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1301E57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157C7E16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0CBCB0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b/>
        <w:position w:val="0"/>
        <w:sz w:val="20"/>
        <w:szCs w:val="22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Calibri" w:eastAsia="Calibri" w:hAnsi="Calibri" w:cs="Calibri"/>
        <w:b/>
        <w:bCs w:val="0"/>
        <w:sz w:val="20"/>
        <w:szCs w:val="2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  <w:rPr>
        <w:rFonts w:cs="Calibri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cs="Calibri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cs="Calibri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cs="Calibri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cs="Calibri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cs="Calibri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cs="Calibri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cs="Calibri"/>
      </w:r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212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32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52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72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92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12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32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52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72" w:hanging="360"/>
      </w:pPr>
      <w:rPr>
        <w:rFonts w:ascii="Wingdings" w:hAnsi="Wingdings" w:cs="Wingdings"/>
      </w:rPr>
    </w:lvl>
  </w:abstractNum>
  <w:abstractNum w:abstractNumId="3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3EDC30F6"/>
    <w:multiLevelType w:val="hybridMultilevel"/>
    <w:tmpl w:val="0F70B452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7" w15:restartNumberingAfterBreak="0">
    <w:nsid w:val="4FE6773D"/>
    <w:multiLevelType w:val="hybridMultilevel"/>
    <w:tmpl w:val="7DCC898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4"/>
  </w:num>
  <w:num w:numId="2" w16cid:durableId="246815921">
    <w:abstractNumId w:val="3"/>
  </w:num>
  <w:num w:numId="3" w16cid:durableId="1865288893">
    <w:abstractNumId w:val="5"/>
  </w:num>
  <w:num w:numId="4" w16cid:durableId="1932926609">
    <w:abstractNumId w:val="8"/>
  </w:num>
  <w:num w:numId="5" w16cid:durableId="409158439">
    <w:abstractNumId w:val="7"/>
  </w:num>
  <w:num w:numId="6" w16cid:durableId="1847356564">
    <w:abstractNumId w:val="6"/>
  </w:num>
  <w:num w:numId="7" w16cid:durableId="1352728841">
    <w:abstractNumId w:val="2"/>
  </w:num>
  <w:num w:numId="8" w16cid:durableId="1689139040">
    <w:abstractNumId w:val="0"/>
  </w:num>
  <w:num w:numId="9" w16cid:durableId="219562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24"/>
    <w:rsid w:val="00282D28"/>
    <w:rsid w:val="002C70FE"/>
    <w:rsid w:val="00867E63"/>
    <w:rsid w:val="00921803"/>
    <w:rsid w:val="009A19E1"/>
    <w:rsid w:val="00C03810"/>
    <w:rsid w:val="00E50B24"/>
    <w:rsid w:val="00F9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EE914"/>
  <w15:chartTrackingRefBased/>
  <w15:docId w15:val="{EDA47D01-FCD3-4E46-A241-AC507C2AE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B24"/>
  </w:style>
  <w:style w:type="paragraph" w:styleId="Heading1">
    <w:name w:val="heading 1"/>
    <w:basedOn w:val="Normal"/>
    <w:next w:val="Normal"/>
    <w:link w:val="Heading1Char"/>
    <w:uiPriority w:val="9"/>
    <w:qFormat/>
    <w:rsid w:val="00E50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50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E50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B2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50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B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50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50B24"/>
  </w:style>
  <w:style w:type="paragraph" w:styleId="BodyTextIndent2">
    <w:name w:val="Body Text Indent 2"/>
    <w:basedOn w:val="Normal"/>
    <w:link w:val="BodyTextIndent2Char"/>
    <w:rsid w:val="00E50B2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50B2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50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2024-07-24T12:08:00Z</dcterms:created>
  <dcterms:modified xsi:type="dcterms:W3CDTF">2024-07-24T12:16:00Z</dcterms:modified>
</cp:coreProperties>
</file>