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E3051A" w14:textId="17F45E84" w:rsidR="003E0D57" w:rsidRPr="003E0D57" w:rsidRDefault="003E0D57" w:rsidP="003E0D57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3E0D57">
        <w:rPr>
          <w:rFonts w:asciiTheme="minorHAnsi" w:hAnsiTheme="minorHAnsi" w:cstheme="minorHAnsi"/>
          <w:b/>
        </w:rPr>
        <w:t xml:space="preserve">MATERIAL NAME: SODIUM </w:t>
      </w:r>
      <w:r w:rsidRPr="003E0D57">
        <w:rPr>
          <w:rFonts w:asciiTheme="minorHAnsi" w:hAnsiTheme="minorHAnsi" w:cstheme="minorHAnsi"/>
          <w:b/>
        </w:rPr>
        <w:t>PROP</w:t>
      </w:r>
      <w:r w:rsidRPr="003E0D57">
        <w:rPr>
          <w:rFonts w:asciiTheme="minorHAnsi" w:hAnsiTheme="minorHAnsi" w:cstheme="minorHAnsi"/>
          <w:b/>
        </w:rPr>
        <w:t>YL PARABEN</w:t>
      </w:r>
    </w:p>
    <w:p w14:paraId="7A477EE6" w14:textId="77777777" w:rsidR="003E0D57" w:rsidRPr="003E0D57" w:rsidRDefault="003E0D57" w:rsidP="003E0D57">
      <w:pPr>
        <w:jc w:val="both"/>
        <w:rPr>
          <w:rFonts w:asciiTheme="minorHAnsi" w:hAnsiTheme="minorHAnsi" w:cstheme="minorHAnsi"/>
          <w:b/>
        </w:rPr>
      </w:pPr>
      <w:r w:rsidRPr="003E0D57">
        <w:rPr>
          <w:rFonts w:asciiTheme="minorHAnsi" w:hAnsiTheme="minorHAnsi" w:cstheme="minorHAnsi"/>
          <w:b/>
        </w:rPr>
        <w:t xml:space="preserve">SOP Ref. No.: BML-QDG-QA-105                </w:t>
      </w:r>
      <w:r w:rsidRPr="003E0D57">
        <w:rPr>
          <w:rFonts w:asciiTheme="minorHAnsi" w:hAnsiTheme="minorHAnsi" w:cstheme="minorHAnsi"/>
          <w:b/>
        </w:rPr>
        <w:tab/>
      </w:r>
      <w:r w:rsidRPr="003E0D57">
        <w:rPr>
          <w:rFonts w:asciiTheme="minorHAnsi" w:hAnsiTheme="minorHAnsi" w:cstheme="minorHAnsi"/>
          <w:b/>
        </w:rPr>
        <w:tab/>
        <w:t xml:space="preserve">       </w:t>
      </w:r>
      <w:r w:rsidRPr="003E0D57">
        <w:rPr>
          <w:rFonts w:asciiTheme="minorHAnsi" w:hAnsiTheme="minorHAnsi" w:cstheme="minorHAnsi"/>
          <w:b/>
        </w:rPr>
        <w:tab/>
      </w:r>
      <w:r w:rsidRPr="003E0D57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3E0D57">
        <w:rPr>
          <w:rFonts w:asciiTheme="minorHAnsi" w:hAnsiTheme="minorHAnsi" w:cstheme="minorHAnsi"/>
          <w:b/>
        </w:rPr>
        <w:t>JAN.,</w:t>
      </w:r>
      <w:proofErr w:type="gramEnd"/>
      <w:r w:rsidRPr="003E0D57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3E0D57" w:rsidRPr="003E0D57" w14:paraId="241C22C6" w14:textId="77777777" w:rsidTr="003E6EF5">
        <w:tc>
          <w:tcPr>
            <w:tcW w:w="720" w:type="dxa"/>
          </w:tcPr>
          <w:p w14:paraId="23DC3032" w14:textId="77777777" w:rsidR="003E0D57" w:rsidRPr="003E0D57" w:rsidRDefault="003E0D57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E0D57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5131C4B5" w14:textId="77777777" w:rsidR="003E0D57" w:rsidRPr="003E0D57" w:rsidRDefault="003E0D57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E0D57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7D5425B9" w14:textId="77777777" w:rsidR="003E0D57" w:rsidRPr="003E0D57" w:rsidRDefault="003E0D57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E0D57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20381F79" w14:textId="77777777" w:rsidR="003E0D57" w:rsidRPr="003E0D57" w:rsidRDefault="003E0D57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3E0D57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3E0D57" w:rsidRPr="003E0D57" w14:paraId="3EE228DB" w14:textId="77777777" w:rsidTr="003E6EF5">
        <w:trPr>
          <w:trHeight w:val="290"/>
        </w:trPr>
        <w:tc>
          <w:tcPr>
            <w:tcW w:w="720" w:type="dxa"/>
          </w:tcPr>
          <w:p w14:paraId="666EDA26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5B3C3F0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1C70A9C1" w14:textId="55702CC4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White or almost white, hygroscopic, crystalline powder.</w:t>
            </w:r>
          </w:p>
        </w:tc>
        <w:tc>
          <w:tcPr>
            <w:tcW w:w="2861" w:type="dxa"/>
          </w:tcPr>
          <w:p w14:paraId="292D033E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E0D57" w:rsidRPr="003E0D57" w14:paraId="40B86811" w14:textId="77777777" w:rsidTr="003E6EF5">
        <w:trPr>
          <w:trHeight w:val="695"/>
        </w:trPr>
        <w:tc>
          <w:tcPr>
            <w:tcW w:w="720" w:type="dxa"/>
          </w:tcPr>
          <w:p w14:paraId="05463068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0BBA6E6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 xml:space="preserve">Solubility  </w:t>
            </w:r>
          </w:p>
        </w:tc>
        <w:tc>
          <w:tcPr>
            <w:tcW w:w="3870" w:type="dxa"/>
          </w:tcPr>
          <w:p w14:paraId="69FEAA55" w14:textId="4B722F0C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Freely soluble in water, sparingly soluble in ethanol (96 per cent), practically insoluble in methylene chloride.</w:t>
            </w:r>
          </w:p>
        </w:tc>
        <w:tc>
          <w:tcPr>
            <w:tcW w:w="2861" w:type="dxa"/>
          </w:tcPr>
          <w:p w14:paraId="69D9648E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53F38815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E0D57" w:rsidRPr="003E0D57" w14:paraId="4556882F" w14:textId="77777777" w:rsidTr="003E6EF5">
        <w:trPr>
          <w:trHeight w:val="443"/>
        </w:trPr>
        <w:tc>
          <w:tcPr>
            <w:tcW w:w="720" w:type="dxa"/>
          </w:tcPr>
          <w:p w14:paraId="7D7D373A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7BCB138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5EBCAFD3" w14:textId="77777777" w:rsidR="003E0D57" w:rsidRPr="003E0D57" w:rsidRDefault="003E0D57" w:rsidP="003E0D5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The precipitate melts at 96 °C to 99 °C.</w:t>
            </w:r>
          </w:p>
          <w:p w14:paraId="22A4947C" w14:textId="77777777" w:rsidR="003E0D57" w:rsidRPr="003E0D57" w:rsidRDefault="003E0D57" w:rsidP="003E0D5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3E0D5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Comparison</w:t>
            </w:r>
            <w:r w:rsidRPr="003E0D57">
              <w:rPr>
                <w:rFonts w:asciiTheme="minorHAnsi" w:hAnsiTheme="minorHAnsi" w:cstheme="minorHAnsi"/>
              </w:rPr>
              <w:t xml:space="preserve"> </w:t>
            </w:r>
            <w:hyperlink r:id="rId7" w:history="1">
              <w:r w:rsidRPr="003E0D57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 xml:space="preserve">propyl </w:t>
              </w:r>
              <w:proofErr w:type="spellStart"/>
              <w:r w:rsidRPr="003E0D57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parahydroxybenzoate</w:t>
              </w:r>
              <w:proofErr w:type="spellEnd"/>
              <w:r w:rsidRPr="003E0D57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 CRS</w:t>
              </w:r>
            </w:hyperlink>
            <w:r w:rsidRPr="003E0D57">
              <w:rPr>
                <w:rFonts w:asciiTheme="minorHAnsi" w:hAnsiTheme="minorHAnsi" w:cstheme="minorHAnsi"/>
              </w:rPr>
              <w:t>.</w:t>
            </w:r>
          </w:p>
          <w:p w14:paraId="40E5A60A" w14:textId="77777777" w:rsidR="003E0D57" w:rsidRPr="003E0D57" w:rsidRDefault="003E0D57" w:rsidP="003E0D5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The principal spot in the chromatogram obtained with test solution (b) is similar in position and size to the principal spot in the chromatogram obtained with reference solution (a).</w:t>
            </w:r>
          </w:p>
          <w:p w14:paraId="0F30F468" w14:textId="108A0342" w:rsidR="003E0D57" w:rsidRPr="003E0D57" w:rsidRDefault="003E0D57" w:rsidP="003E0D57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A dense white precipitate is formed.</w:t>
            </w:r>
          </w:p>
        </w:tc>
        <w:tc>
          <w:tcPr>
            <w:tcW w:w="2861" w:type="dxa"/>
          </w:tcPr>
          <w:p w14:paraId="641CF100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E0D57" w:rsidRPr="003E0D57" w14:paraId="58C35B6A" w14:textId="77777777" w:rsidTr="003E6EF5">
        <w:trPr>
          <w:trHeight w:val="443"/>
        </w:trPr>
        <w:tc>
          <w:tcPr>
            <w:tcW w:w="720" w:type="dxa"/>
          </w:tcPr>
          <w:p w14:paraId="23B33E3B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E671807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 xml:space="preserve">Appearance of Solution </w:t>
            </w:r>
          </w:p>
        </w:tc>
        <w:tc>
          <w:tcPr>
            <w:tcW w:w="3870" w:type="dxa"/>
          </w:tcPr>
          <w:p w14:paraId="4411A008" w14:textId="2F0D199F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 xml:space="preserve">It is clear and not more intensely </w:t>
            </w:r>
            <w:proofErr w:type="spellStart"/>
            <w:r w:rsidRPr="003E0D57">
              <w:rPr>
                <w:rFonts w:asciiTheme="minorHAnsi" w:hAnsiTheme="minorHAnsi" w:cstheme="minorHAnsi"/>
              </w:rPr>
              <w:t>coloured</w:t>
            </w:r>
            <w:proofErr w:type="spellEnd"/>
            <w:r w:rsidRPr="003E0D57">
              <w:rPr>
                <w:rFonts w:asciiTheme="minorHAnsi" w:hAnsiTheme="minorHAnsi" w:cstheme="minorHAnsi"/>
              </w:rPr>
              <w:t xml:space="preserve"> than reference solution</w:t>
            </w:r>
            <w:r w:rsidRPr="003E0D5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2861" w:type="dxa"/>
          </w:tcPr>
          <w:p w14:paraId="7335246D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E0D57" w:rsidRPr="003E0D57" w14:paraId="69361E04" w14:textId="77777777" w:rsidTr="003E6EF5">
        <w:trPr>
          <w:trHeight w:val="503"/>
        </w:trPr>
        <w:tc>
          <w:tcPr>
            <w:tcW w:w="720" w:type="dxa"/>
          </w:tcPr>
          <w:p w14:paraId="5996C80C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8856CB3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pH</w:t>
            </w:r>
          </w:p>
        </w:tc>
        <w:tc>
          <w:tcPr>
            <w:tcW w:w="3870" w:type="dxa"/>
          </w:tcPr>
          <w:p w14:paraId="01A7B791" w14:textId="13D17FD6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9.5 to 10.5.</w:t>
            </w:r>
          </w:p>
        </w:tc>
        <w:tc>
          <w:tcPr>
            <w:tcW w:w="2861" w:type="dxa"/>
          </w:tcPr>
          <w:p w14:paraId="1A39F36B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C3C1D20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E0D57" w:rsidRPr="003E0D57" w14:paraId="2B2A9790" w14:textId="77777777" w:rsidTr="003E6EF5">
        <w:trPr>
          <w:trHeight w:val="503"/>
        </w:trPr>
        <w:tc>
          <w:tcPr>
            <w:tcW w:w="720" w:type="dxa"/>
          </w:tcPr>
          <w:p w14:paraId="5C2A6940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214A85F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Related Substances</w:t>
            </w:r>
          </w:p>
        </w:tc>
        <w:tc>
          <w:tcPr>
            <w:tcW w:w="3870" w:type="dxa"/>
          </w:tcPr>
          <w:p w14:paraId="6721DFD3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correction factor</w:t>
            </w:r>
            <w:r w:rsidRPr="003E0D57">
              <w:rPr>
                <w:rFonts w:asciiTheme="minorHAnsi" w:hAnsiTheme="minorHAnsi" w:cstheme="minorHAnsi"/>
              </w:rPr>
              <w:t xml:space="preserve">: for the calculation of content, multiply the peak area of impurity A by </w:t>
            </w:r>
            <w:proofErr w:type="gramStart"/>
            <w:r w:rsidRPr="003E0D57">
              <w:rPr>
                <w:rFonts w:asciiTheme="minorHAnsi" w:hAnsiTheme="minorHAnsi" w:cstheme="minorHAnsi"/>
              </w:rPr>
              <w:t>1.4;</w:t>
            </w:r>
            <w:proofErr w:type="gramEnd"/>
          </w:p>
          <w:p w14:paraId="19948C81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 xml:space="preserve">— </w:t>
            </w:r>
            <w:r w:rsidRPr="003E0D5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impurity A</w:t>
            </w:r>
            <w:r w:rsidRPr="003E0D57">
              <w:rPr>
                <w:rFonts w:asciiTheme="minorHAnsi" w:hAnsiTheme="minorHAnsi" w:cstheme="minorHAnsi"/>
              </w:rPr>
              <w:t>: not more than 8 times the area of the principal peak in the chromatogram obtained with reference solution (c) (4.0 per cent</w:t>
            </w:r>
            <w:proofErr w:type="gramStart"/>
            <w:r w:rsidRPr="003E0D57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72DEE516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 xml:space="preserve">— </w:t>
            </w:r>
            <w:r w:rsidRPr="003E0D5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unspecified impurities</w:t>
            </w:r>
            <w:r w:rsidRPr="003E0D57">
              <w:rPr>
                <w:rFonts w:asciiTheme="minorHAnsi" w:hAnsiTheme="minorHAnsi" w:cstheme="minorHAnsi"/>
              </w:rPr>
              <w:t xml:space="preserve">: for each impurity, not more than the area of the principal peak in the </w:t>
            </w:r>
            <w:r w:rsidRPr="003E0D57">
              <w:rPr>
                <w:rFonts w:asciiTheme="minorHAnsi" w:hAnsiTheme="minorHAnsi" w:cstheme="minorHAnsi"/>
              </w:rPr>
              <w:lastRenderedPageBreak/>
              <w:t>chromatogram obtained with reference solution (c) (0.5 per cent</w:t>
            </w:r>
            <w:proofErr w:type="gramStart"/>
            <w:r w:rsidRPr="003E0D57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6C076DFB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 xml:space="preserve">— </w:t>
            </w:r>
            <w:r w:rsidRPr="003E0D5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sum of impurities other than A</w:t>
            </w:r>
            <w:r w:rsidRPr="003E0D57">
              <w:rPr>
                <w:rFonts w:asciiTheme="minorHAnsi" w:hAnsiTheme="minorHAnsi" w:cstheme="minorHAnsi"/>
              </w:rPr>
              <w:t>: not more than twice the area of the principal peak in the chromatogram obtained with reference solution (c) (1.0 per cent</w:t>
            </w:r>
            <w:proofErr w:type="gramStart"/>
            <w:r w:rsidRPr="003E0D57">
              <w:rPr>
                <w:rFonts w:asciiTheme="minorHAnsi" w:hAnsiTheme="minorHAnsi" w:cstheme="minorHAnsi"/>
              </w:rPr>
              <w:t>);</w:t>
            </w:r>
            <w:proofErr w:type="gramEnd"/>
          </w:p>
          <w:p w14:paraId="74133316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 xml:space="preserve">— </w:t>
            </w:r>
            <w:r w:rsidRPr="003E0D57">
              <w:rPr>
                <w:rStyle w:val="Emphasis"/>
                <w:rFonts w:asciiTheme="minorHAnsi" w:hAnsiTheme="minorHAnsi" w:cstheme="minorHAnsi"/>
                <w:i w:val="0"/>
                <w:iCs w:val="0"/>
              </w:rPr>
              <w:t>disregard limit</w:t>
            </w:r>
            <w:r w:rsidRPr="003E0D57">
              <w:rPr>
                <w:rFonts w:asciiTheme="minorHAnsi" w:hAnsiTheme="minorHAnsi" w:cstheme="minorHAnsi"/>
              </w:rPr>
              <w:t>: 0.2 times the area of the principal peak in the chromatogram obtained with reference solution (c) (0.1 per cent).</w:t>
            </w:r>
          </w:p>
          <w:p w14:paraId="24BD9179" w14:textId="1119BB96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861" w:type="dxa"/>
          </w:tcPr>
          <w:p w14:paraId="1782862F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  <w:p w14:paraId="05626789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E0D57" w:rsidRPr="003E0D57" w14:paraId="3574E7BE" w14:textId="77777777" w:rsidTr="003E6EF5">
        <w:trPr>
          <w:trHeight w:val="503"/>
        </w:trPr>
        <w:tc>
          <w:tcPr>
            <w:tcW w:w="720" w:type="dxa"/>
          </w:tcPr>
          <w:p w14:paraId="1C0529E9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D2584C6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Chlorides</w:t>
            </w:r>
          </w:p>
        </w:tc>
        <w:tc>
          <w:tcPr>
            <w:tcW w:w="3870" w:type="dxa"/>
          </w:tcPr>
          <w:p w14:paraId="73634B16" w14:textId="1F9BCB6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Maximum 350 ppm.</w:t>
            </w:r>
          </w:p>
        </w:tc>
        <w:tc>
          <w:tcPr>
            <w:tcW w:w="2861" w:type="dxa"/>
          </w:tcPr>
          <w:p w14:paraId="43447CCF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E0D57" w:rsidRPr="003E0D57" w14:paraId="4FD7156D" w14:textId="77777777" w:rsidTr="003E6EF5">
        <w:trPr>
          <w:trHeight w:val="503"/>
        </w:trPr>
        <w:tc>
          <w:tcPr>
            <w:tcW w:w="720" w:type="dxa"/>
          </w:tcPr>
          <w:p w14:paraId="60EB35FE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A834689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Sulphate</w:t>
            </w:r>
          </w:p>
        </w:tc>
        <w:tc>
          <w:tcPr>
            <w:tcW w:w="3870" w:type="dxa"/>
          </w:tcPr>
          <w:p w14:paraId="5935D9DF" w14:textId="4CE5E37C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Maximum 300 ppm.</w:t>
            </w:r>
          </w:p>
        </w:tc>
        <w:tc>
          <w:tcPr>
            <w:tcW w:w="2861" w:type="dxa"/>
          </w:tcPr>
          <w:p w14:paraId="01F433A1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06D6562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E0D57" w:rsidRPr="003E0D57" w14:paraId="7EE66725" w14:textId="77777777" w:rsidTr="003E6EF5">
        <w:trPr>
          <w:trHeight w:val="503"/>
        </w:trPr>
        <w:tc>
          <w:tcPr>
            <w:tcW w:w="720" w:type="dxa"/>
          </w:tcPr>
          <w:p w14:paraId="095DE99E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2D7FEE7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Water</w:t>
            </w:r>
          </w:p>
        </w:tc>
        <w:tc>
          <w:tcPr>
            <w:tcW w:w="3870" w:type="dxa"/>
          </w:tcPr>
          <w:p w14:paraId="635AE013" w14:textId="2A54EE21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Maximum 5.0 %</w:t>
            </w:r>
          </w:p>
        </w:tc>
        <w:tc>
          <w:tcPr>
            <w:tcW w:w="2861" w:type="dxa"/>
          </w:tcPr>
          <w:p w14:paraId="305311FE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DE615FC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3E0D57" w:rsidRPr="003E0D57" w14:paraId="5BD9BF55" w14:textId="77777777" w:rsidTr="003E6EF5">
        <w:trPr>
          <w:trHeight w:val="503"/>
        </w:trPr>
        <w:tc>
          <w:tcPr>
            <w:tcW w:w="720" w:type="dxa"/>
          </w:tcPr>
          <w:p w14:paraId="680FE75B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52B8412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3176839A" w14:textId="174038EA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94.0% to 102.0 % (anhydrous substance).</w:t>
            </w:r>
          </w:p>
        </w:tc>
        <w:tc>
          <w:tcPr>
            <w:tcW w:w="2861" w:type="dxa"/>
          </w:tcPr>
          <w:p w14:paraId="2AA3755A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3E0D57" w:rsidRPr="003E0D57" w14:paraId="6A301EFC" w14:textId="77777777" w:rsidTr="003E6EF5">
        <w:trPr>
          <w:trHeight w:val="1163"/>
        </w:trPr>
        <w:tc>
          <w:tcPr>
            <w:tcW w:w="720" w:type="dxa"/>
          </w:tcPr>
          <w:p w14:paraId="4B8DFE37" w14:textId="77777777" w:rsidR="003E0D57" w:rsidRPr="003E0D57" w:rsidRDefault="003E0D57" w:rsidP="003E0D57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15E51C2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Microbial Contamination; TMC</w:t>
            </w:r>
          </w:p>
          <w:p w14:paraId="3A7347C8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3E0D57">
              <w:rPr>
                <w:rFonts w:asciiTheme="minorHAnsi" w:hAnsiTheme="minorHAnsi" w:cstheme="minorHAnsi"/>
              </w:rPr>
              <w:t>Mould</w:t>
            </w:r>
            <w:proofErr w:type="spellEnd"/>
            <w:r w:rsidRPr="003E0D57">
              <w:rPr>
                <w:rFonts w:asciiTheme="minorHAnsi" w:hAnsiTheme="minorHAnsi" w:cstheme="minorHAnsi"/>
              </w:rPr>
              <w:t xml:space="preserve"> count</w:t>
            </w:r>
          </w:p>
          <w:p w14:paraId="7395A85B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4F68B00E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</w:p>
          <w:p w14:paraId="7E36F2CE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NMT 1000cfu/g</w:t>
            </w:r>
          </w:p>
          <w:p w14:paraId="1D0DD45B" w14:textId="77777777" w:rsidR="003E0D57" w:rsidRPr="003E0D57" w:rsidRDefault="003E0D57" w:rsidP="003E0D57">
            <w:pPr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NMT 100cfu/g</w:t>
            </w:r>
          </w:p>
          <w:p w14:paraId="369862ED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</w:rPr>
            </w:pPr>
            <w:r w:rsidRPr="003E0D57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0F17FCF6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3E0D57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26501B32" w14:textId="77777777" w:rsidR="003E0D57" w:rsidRPr="003E0D57" w:rsidRDefault="003E0D57" w:rsidP="003E0D5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532190DF" w14:textId="77777777" w:rsidR="003E0D57" w:rsidRPr="003E0D57" w:rsidRDefault="003E0D57" w:rsidP="003E0D57">
      <w:pPr>
        <w:jc w:val="both"/>
        <w:rPr>
          <w:rFonts w:asciiTheme="minorHAnsi" w:hAnsiTheme="minorHAnsi" w:cstheme="minorHAnsi"/>
        </w:rPr>
      </w:pPr>
    </w:p>
    <w:p w14:paraId="49BFA75C" w14:textId="77777777" w:rsidR="003E0D57" w:rsidRPr="003E0D57" w:rsidRDefault="003E0D57" w:rsidP="003E0D57">
      <w:pPr>
        <w:rPr>
          <w:rFonts w:asciiTheme="minorHAnsi" w:hAnsiTheme="minorHAnsi" w:cstheme="minorHAnsi"/>
        </w:rPr>
      </w:pPr>
      <w:r w:rsidRPr="003E0D57">
        <w:rPr>
          <w:rFonts w:asciiTheme="minorHAnsi" w:hAnsiTheme="minorHAnsi" w:cstheme="minorHAnsi"/>
        </w:rPr>
        <w:t>STORAGE: Store in an airtight container.</w:t>
      </w:r>
    </w:p>
    <w:p w14:paraId="588440EC" w14:textId="77777777" w:rsidR="003E0D57" w:rsidRPr="003E0D57" w:rsidRDefault="003E0D57" w:rsidP="003E0D57">
      <w:pPr>
        <w:rPr>
          <w:rFonts w:asciiTheme="minorHAnsi" w:hAnsiTheme="minorHAnsi" w:cstheme="minorHAnsi"/>
        </w:rPr>
      </w:pPr>
    </w:p>
    <w:p w14:paraId="64BB8908" w14:textId="77777777" w:rsidR="003E0D57" w:rsidRPr="003E0D57" w:rsidRDefault="003E0D57" w:rsidP="003E0D57">
      <w:pPr>
        <w:jc w:val="both"/>
        <w:rPr>
          <w:rFonts w:asciiTheme="minorHAnsi" w:hAnsiTheme="minorHAnsi" w:cstheme="minorHAnsi"/>
        </w:rPr>
      </w:pPr>
      <w:r w:rsidRPr="003E0D57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3E0D57">
        <w:rPr>
          <w:rFonts w:asciiTheme="minorHAnsi" w:hAnsiTheme="minorHAnsi" w:cstheme="minorHAnsi"/>
        </w:rPr>
        <w:t>cfu</w:t>
      </w:r>
      <w:proofErr w:type="spellEnd"/>
      <w:r w:rsidRPr="003E0D57">
        <w:rPr>
          <w:rFonts w:asciiTheme="minorHAnsi" w:hAnsiTheme="minorHAnsi" w:cstheme="minorHAnsi"/>
        </w:rPr>
        <w:t>/g= Colony Forming Unit per Gram</w:t>
      </w:r>
    </w:p>
    <w:bookmarkEnd w:id="0"/>
    <w:p w14:paraId="0984D5F2" w14:textId="77777777" w:rsidR="003E0D57" w:rsidRPr="003E0D57" w:rsidRDefault="003E0D57" w:rsidP="003E0D57">
      <w:pPr>
        <w:rPr>
          <w:rFonts w:asciiTheme="minorHAnsi" w:hAnsiTheme="minorHAnsi" w:cstheme="minorHAnsi"/>
        </w:rPr>
      </w:pPr>
    </w:p>
    <w:p w14:paraId="481056D1" w14:textId="77777777" w:rsidR="003E0D57" w:rsidRPr="003E0D57" w:rsidRDefault="003E0D57" w:rsidP="003E0D57">
      <w:pPr>
        <w:rPr>
          <w:rFonts w:asciiTheme="minorHAnsi" w:hAnsiTheme="minorHAnsi" w:cstheme="minorHAnsi"/>
        </w:rPr>
      </w:pPr>
    </w:p>
    <w:p w14:paraId="35DF68B7" w14:textId="77777777" w:rsidR="003E0D57" w:rsidRPr="003E0D57" w:rsidRDefault="003E0D57" w:rsidP="003E0D57">
      <w:pPr>
        <w:rPr>
          <w:rFonts w:asciiTheme="minorHAnsi" w:hAnsiTheme="minorHAnsi" w:cstheme="minorHAnsi"/>
        </w:rPr>
      </w:pPr>
    </w:p>
    <w:p w14:paraId="4CEEE139" w14:textId="77777777" w:rsidR="002C70FE" w:rsidRPr="003E0D57" w:rsidRDefault="002C70FE">
      <w:pPr>
        <w:rPr>
          <w:rFonts w:asciiTheme="minorHAnsi" w:hAnsiTheme="minorHAnsi" w:cstheme="minorHAnsi"/>
        </w:rPr>
      </w:pPr>
    </w:p>
    <w:sectPr w:rsidR="002C70FE" w:rsidRPr="003E0D57" w:rsidSect="003E0D57">
      <w:headerReference w:type="default" r:id="rId8"/>
      <w:footerReference w:type="default" r:id="rId9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141AE" w14:textId="77777777" w:rsidR="00632CEA" w:rsidRDefault="00632CEA" w:rsidP="003E0D57">
      <w:r>
        <w:separator/>
      </w:r>
    </w:p>
  </w:endnote>
  <w:endnote w:type="continuationSeparator" w:id="0">
    <w:p w14:paraId="07837EC5" w14:textId="77777777" w:rsidR="00632CEA" w:rsidRDefault="00632CEA" w:rsidP="003E0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595D5F96" w14:textId="77777777" w:rsidTr="003E6EF5">
      <w:trPr>
        <w:trHeight w:val="410"/>
      </w:trPr>
      <w:tc>
        <w:tcPr>
          <w:tcW w:w="3403" w:type="dxa"/>
        </w:tcPr>
        <w:p w14:paraId="3251237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6DCB4521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2A27F13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09D1E311" w14:textId="77777777" w:rsidTr="003E6EF5">
      <w:trPr>
        <w:trHeight w:val="411"/>
      </w:trPr>
      <w:tc>
        <w:tcPr>
          <w:tcW w:w="3403" w:type="dxa"/>
        </w:tcPr>
        <w:p w14:paraId="6E28D57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2F91CCC9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076A086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391B7235" w14:textId="77777777" w:rsidTr="003E6EF5">
      <w:trPr>
        <w:trHeight w:val="214"/>
      </w:trPr>
      <w:tc>
        <w:tcPr>
          <w:tcW w:w="3403" w:type="dxa"/>
        </w:tcPr>
        <w:p w14:paraId="5400AFC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3963823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3988330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CF93816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FE9A638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E881BC" w14:textId="77777777" w:rsidR="00632CEA" w:rsidRDefault="00632CEA" w:rsidP="003E0D57">
      <w:r>
        <w:separator/>
      </w:r>
    </w:p>
  </w:footnote>
  <w:footnote w:type="continuationSeparator" w:id="0">
    <w:p w14:paraId="5A739E34" w14:textId="77777777" w:rsidR="00632CEA" w:rsidRDefault="00632CEA" w:rsidP="003E0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620BE18F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56C117AF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48B6814C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0F404CED" wp14:editId="30D3C9D5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C8B0998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1CFBBC8D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07D26C6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5C451A39" w14:textId="0B1AC5E8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3E0D57">
            <w:rPr>
              <w:rFonts w:asciiTheme="minorHAnsi" w:eastAsia="Calibri" w:hAnsiTheme="minorHAnsi" w:cstheme="minorHAnsi"/>
              <w:b/>
              <w:bCs/>
            </w:rPr>
            <w:t>30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7CD922FB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0D0829"/>
    <w:multiLevelType w:val="hybridMultilevel"/>
    <w:tmpl w:val="91C267C4"/>
    <w:lvl w:ilvl="0" w:tplc="0409000F">
      <w:start w:val="1"/>
      <w:numFmt w:val="decimal"/>
      <w:lvlText w:val="%1."/>
      <w:lvlJc w:val="left"/>
      <w:pPr>
        <w:tabs>
          <w:tab w:val="num" w:pos="1856"/>
        </w:tabs>
        <w:ind w:left="185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25B5E67"/>
    <w:multiLevelType w:val="hybridMultilevel"/>
    <w:tmpl w:val="06AA0D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FB5BCB"/>
    <w:multiLevelType w:val="hybridMultilevel"/>
    <w:tmpl w:val="D3EA4A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D80EF3"/>
    <w:multiLevelType w:val="hybridMultilevel"/>
    <w:tmpl w:val="D3EA4A8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2"/>
  </w:num>
  <w:num w:numId="2" w16cid:durableId="1978871116">
    <w:abstractNumId w:val="1"/>
  </w:num>
  <w:num w:numId="3" w16cid:durableId="1517885547">
    <w:abstractNumId w:val="3"/>
  </w:num>
  <w:num w:numId="4" w16cid:durableId="1297957151">
    <w:abstractNumId w:val="0"/>
  </w:num>
  <w:num w:numId="5" w16cid:durableId="625279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57"/>
    <w:rsid w:val="002C70FE"/>
    <w:rsid w:val="003E0D57"/>
    <w:rsid w:val="00632CEA"/>
    <w:rsid w:val="00867E63"/>
    <w:rsid w:val="00921803"/>
    <w:rsid w:val="009A19E1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7F1CB"/>
  <w15:chartTrackingRefBased/>
  <w15:docId w15:val="{26A52A45-8B4C-4737-871C-11D48937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D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D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D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D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D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D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D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rsid w:val="003E0D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E0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D5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E0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D57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rsid w:val="003E0D57"/>
    <w:pPr>
      <w:spacing w:before="100" w:beforeAutospacing="1" w:after="100" w:afterAutospacing="1"/>
    </w:pPr>
    <w:rPr>
      <w:lang w:bidi="th-TH"/>
    </w:rPr>
  </w:style>
  <w:style w:type="character" w:styleId="Emphasis">
    <w:name w:val="Emphasis"/>
    <w:basedOn w:val="DefaultParagraphFont"/>
    <w:uiPriority w:val="20"/>
    <w:qFormat/>
    <w:rsid w:val="003E0D57"/>
    <w:rPr>
      <w:i/>
      <w:iCs/>
    </w:rPr>
  </w:style>
  <w:style w:type="character" w:styleId="Hyperlink">
    <w:name w:val="Hyperlink"/>
    <w:basedOn w:val="DefaultParagraphFont"/>
    <w:uiPriority w:val="99"/>
    <w:unhideWhenUsed/>
    <w:rsid w:val="003E0D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C:\Users\HP\Desktop\BP%202023\appendices\appendix-01\appendix-01-e\appendix-i-e--reference-materials.html?date=2023-07-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2025-01-30T09:27:00Z</dcterms:created>
  <dcterms:modified xsi:type="dcterms:W3CDTF">2025-01-30T09:33:00Z</dcterms:modified>
</cp:coreProperties>
</file>