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C0F" w:rsidRPr="002B1C0F" w:rsidRDefault="002B1C0F" w:rsidP="002B1C0F">
      <w:pPr>
        <w:jc w:val="both"/>
        <w:rPr>
          <w:rFonts w:cstheme="minorHAnsi"/>
          <w:b/>
        </w:rPr>
      </w:pPr>
      <w:bookmarkStart w:id="0" w:name="_GoBack"/>
      <w:bookmarkEnd w:id="0"/>
      <w:r w:rsidRPr="002B1C0F">
        <w:rPr>
          <w:rFonts w:cstheme="minorHAnsi"/>
          <w:b/>
        </w:rPr>
        <w:t xml:space="preserve">                                                                                                                                                                                      </w:t>
      </w:r>
      <w:r w:rsidRPr="002B1C0F">
        <w:rPr>
          <w:rFonts w:eastAsia="Times New Roman" w:cstheme="minorHAnsi"/>
        </w:rPr>
        <w:t>This checklist supports systematic literature monitoring for adverse event detection, signal evaluation, and regulatory reporting (e.g., PSUR, RMP).</w:t>
      </w:r>
    </w:p>
    <w:p w:rsidR="002B1C0F" w:rsidRPr="002B1C0F" w:rsidRDefault="002B1C0F" w:rsidP="002B1C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2B1C0F">
        <w:rPr>
          <w:rFonts w:eastAsia="Times New Roman" w:cstheme="minorHAnsi"/>
          <w:b/>
          <w:bCs/>
        </w:rPr>
        <w:t>Planning &amp; Preparation</w:t>
      </w:r>
    </w:p>
    <w:p w:rsidR="002B1C0F" w:rsidRPr="002B1C0F" w:rsidRDefault="002B1C0F" w:rsidP="002B1C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Define the objective (e.g., signal detection, PSUR support, routine monitoring)</w:t>
      </w:r>
    </w:p>
    <w:p w:rsidR="002B1C0F" w:rsidRPr="002B1C0F" w:rsidRDefault="002B1C0F" w:rsidP="002B1C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Select relevant databases (e.g., PubMed, </w:t>
      </w:r>
      <w:proofErr w:type="spellStart"/>
      <w:r w:rsidRPr="002B1C0F">
        <w:rPr>
          <w:rFonts w:eastAsia="Times New Roman" w:cstheme="minorHAnsi"/>
        </w:rPr>
        <w:t>Embase</w:t>
      </w:r>
      <w:proofErr w:type="spellEnd"/>
      <w:r w:rsidRPr="002B1C0F">
        <w:rPr>
          <w:rFonts w:eastAsia="Times New Roman" w:cstheme="minorHAnsi"/>
        </w:rPr>
        <w:t>, Google Scholar)</w:t>
      </w:r>
    </w:p>
    <w:p w:rsidR="002B1C0F" w:rsidRPr="002B1C0F" w:rsidRDefault="002B1C0F" w:rsidP="002B1C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Determine inclusion/exclusion criteria</w:t>
      </w:r>
    </w:p>
    <w:p w:rsidR="002B1C0F" w:rsidRPr="002B1C0F" w:rsidRDefault="002B1C0F" w:rsidP="002B1C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Define frequency of review (e.g., weekly, monthly)</w:t>
      </w:r>
    </w:p>
    <w:p w:rsidR="002B1C0F" w:rsidRPr="002B1C0F" w:rsidRDefault="002B1C0F" w:rsidP="002B1C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eastAsia="Times New Roman" w:cstheme="minorHAnsi"/>
          <w:b/>
          <w:bCs/>
        </w:rPr>
        <w:t>Search Strategy</w:t>
      </w:r>
    </w:p>
    <w:p w:rsidR="002B1C0F" w:rsidRPr="002B1C0F" w:rsidRDefault="002B1C0F" w:rsidP="002B1C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Construct Boolean search strings (drug names + AE terms)</w:t>
      </w:r>
    </w:p>
    <w:p w:rsidR="002B1C0F" w:rsidRPr="002B1C0F" w:rsidRDefault="002B1C0F" w:rsidP="002B1C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Include brand and generic names</w:t>
      </w:r>
    </w:p>
    <w:p w:rsidR="002B1C0F" w:rsidRPr="002B1C0F" w:rsidRDefault="002B1C0F" w:rsidP="002B1C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Add synonyms or related medical terms (e.g., </w:t>
      </w:r>
      <w:proofErr w:type="spellStart"/>
      <w:r w:rsidRPr="002B1C0F">
        <w:rPr>
          <w:rFonts w:eastAsia="Times New Roman" w:cstheme="minorHAnsi"/>
        </w:rPr>
        <w:t>MedDRA</w:t>
      </w:r>
      <w:proofErr w:type="spellEnd"/>
      <w:r w:rsidRPr="002B1C0F">
        <w:rPr>
          <w:rFonts w:eastAsia="Times New Roman" w:cstheme="minorHAnsi"/>
        </w:rPr>
        <w:t>)</w:t>
      </w:r>
    </w:p>
    <w:p w:rsidR="002B1C0F" w:rsidRPr="002B1C0F" w:rsidRDefault="002B1C0F" w:rsidP="002B1C0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Document search terms and filters for traceability</w:t>
      </w:r>
    </w:p>
    <w:p w:rsidR="002B1C0F" w:rsidRPr="002B1C0F" w:rsidRDefault="002B1C0F" w:rsidP="002B1C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2B1C0F">
        <w:rPr>
          <w:rFonts w:eastAsia="Times New Roman" w:cstheme="minorHAnsi"/>
          <w:b/>
          <w:bCs/>
        </w:rPr>
        <w:t>Screening &amp; Selection</w:t>
      </w:r>
    </w:p>
    <w:p w:rsidR="002B1C0F" w:rsidRPr="002B1C0F" w:rsidRDefault="002B1C0F" w:rsidP="002B1C0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Review titles and abstracts for relevance</w:t>
      </w:r>
    </w:p>
    <w:p w:rsidR="002B1C0F" w:rsidRPr="002B1C0F" w:rsidRDefault="002B1C0F" w:rsidP="002B1C0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Apply inclusion/exclusion criteria consistently</w:t>
      </w:r>
    </w:p>
    <w:p w:rsidR="002B1C0F" w:rsidRPr="002B1C0F" w:rsidRDefault="002B1C0F" w:rsidP="002B1C0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Prioritize peer-reviewed and high-quality sources</w:t>
      </w:r>
    </w:p>
    <w:p w:rsidR="002B1C0F" w:rsidRPr="002B1C0F" w:rsidRDefault="002B1C0F" w:rsidP="002B1C0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Record reasons for exclusion of key articles</w:t>
      </w:r>
    </w:p>
    <w:p w:rsidR="002B1C0F" w:rsidRPr="002B1C0F" w:rsidRDefault="002B1C0F" w:rsidP="002B1C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2B1C0F">
        <w:rPr>
          <w:rFonts w:eastAsia="Times New Roman" w:cstheme="minorHAnsi"/>
          <w:b/>
          <w:bCs/>
        </w:rPr>
        <w:t>Data Extraction</w:t>
      </w:r>
    </w:p>
    <w:p w:rsidR="002B1C0F" w:rsidRPr="002B1C0F" w:rsidRDefault="002B1C0F" w:rsidP="002B1C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Capture title, author, journal, and publication year</w:t>
      </w:r>
    </w:p>
    <w:p w:rsidR="002B1C0F" w:rsidRPr="002B1C0F" w:rsidRDefault="002B1C0F" w:rsidP="002B1C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Identify drug(s) and adverse event(s)</w:t>
      </w:r>
    </w:p>
    <w:p w:rsidR="002B1C0F" w:rsidRPr="002B1C0F" w:rsidRDefault="002B1C0F" w:rsidP="002B1C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Summarize key findings and clinical outcomes</w:t>
      </w:r>
    </w:p>
    <w:p w:rsidR="002B1C0F" w:rsidRPr="002B1C0F" w:rsidRDefault="002B1C0F" w:rsidP="002B1C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Record any case reports or relevant statistics</w:t>
      </w:r>
    </w:p>
    <w:p w:rsidR="002B1C0F" w:rsidRPr="002B1C0F" w:rsidRDefault="002B1C0F" w:rsidP="002B1C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2B1C0F">
        <w:rPr>
          <w:rFonts w:eastAsia="Times New Roman" w:cstheme="minorHAnsi"/>
          <w:b/>
          <w:bCs/>
        </w:rPr>
        <w:t>Relevance &amp; Signal Evaluation</w:t>
      </w:r>
    </w:p>
    <w:p w:rsidR="002B1C0F" w:rsidRPr="002B1C0F" w:rsidRDefault="002B1C0F" w:rsidP="002B1C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Assess clinical and regulatory relevance</w:t>
      </w:r>
    </w:p>
    <w:p w:rsidR="002B1C0F" w:rsidRPr="002B1C0F" w:rsidRDefault="002B1C0F" w:rsidP="002B1C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Compare findings with known safety profile</w:t>
      </w:r>
    </w:p>
    <w:p w:rsidR="002B1C0F" w:rsidRPr="002B1C0F" w:rsidRDefault="002B1C0F" w:rsidP="002B1C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Identify new or unexpected signals</w:t>
      </w:r>
    </w:p>
    <w:p w:rsidR="002B1C0F" w:rsidRPr="002B1C0F" w:rsidRDefault="002B1C0F" w:rsidP="002B1C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Escalate significant findings for medical review</w:t>
      </w:r>
    </w:p>
    <w:p w:rsidR="002B1C0F" w:rsidRPr="002B1C0F" w:rsidRDefault="002B1C0F" w:rsidP="002B1C0F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</w:rPr>
      </w:pPr>
    </w:p>
    <w:p w:rsidR="002B1C0F" w:rsidRDefault="002B1C0F" w:rsidP="002B1C0F">
      <w:pPr>
        <w:spacing w:before="100" w:beforeAutospacing="1" w:after="100" w:afterAutospacing="1" w:line="240" w:lineRule="auto"/>
        <w:ind w:left="360"/>
        <w:jc w:val="both"/>
        <w:outlineLvl w:val="2"/>
        <w:rPr>
          <w:rFonts w:eastAsia="Times New Roman" w:cstheme="minorHAnsi"/>
          <w:b/>
          <w:bCs/>
        </w:rPr>
      </w:pPr>
    </w:p>
    <w:p w:rsidR="002B1C0F" w:rsidRPr="002B1C0F" w:rsidRDefault="002B1C0F" w:rsidP="002B1C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2B1C0F">
        <w:rPr>
          <w:rFonts w:eastAsia="Times New Roman" w:cstheme="minorHAnsi"/>
          <w:b/>
          <w:bCs/>
        </w:rPr>
        <w:t>Documentation &amp; Reporting</w:t>
      </w:r>
    </w:p>
    <w:p w:rsidR="002B1C0F" w:rsidRPr="002B1C0F" w:rsidRDefault="002B1C0F" w:rsidP="002B1C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Log articles in the Literature Review Log</w:t>
      </w:r>
    </w:p>
    <w:p w:rsidR="002B1C0F" w:rsidRPr="002B1C0F" w:rsidRDefault="002B1C0F" w:rsidP="002B1C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Highlight items used in PSURs or RMPs</w:t>
      </w:r>
    </w:p>
    <w:p w:rsidR="002B1C0F" w:rsidRPr="002B1C0F" w:rsidRDefault="002B1C0F" w:rsidP="002B1C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Archive full-text copies and citations</w:t>
      </w:r>
    </w:p>
    <w:p w:rsidR="002B1C0F" w:rsidRPr="002B1C0F" w:rsidRDefault="002B1C0F" w:rsidP="002B1C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2B1C0F">
        <w:rPr>
          <w:rFonts w:ascii="MS Gothic" w:eastAsia="MS Gothic" w:hAnsi="MS Gothic" w:cs="MS Gothic" w:hint="eastAsia"/>
        </w:rPr>
        <w:t>☐</w:t>
      </w:r>
      <w:r w:rsidRPr="002B1C0F">
        <w:rPr>
          <w:rFonts w:eastAsia="Times New Roman" w:cstheme="minorHAnsi"/>
        </w:rPr>
        <w:t xml:space="preserve"> Ensure audit-ready documentation</w:t>
      </w:r>
    </w:p>
    <w:p w:rsidR="00477F71" w:rsidRPr="002B1C0F" w:rsidRDefault="00AC785B" w:rsidP="002B1C0F">
      <w:pPr>
        <w:jc w:val="both"/>
        <w:rPr>
          <w:rFonts w:cstheme="minorHAnsi"/>
        </w:rPr>
      </w:pPr>
    </w:p>
    <w:sectPr w:rsidR="00477F71" w:rsidRPr="002B1C0F" w:rsidSect="002B1C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85B" w:rsidRDefault="00AC785B" w:rsidP="002B1C0F">
      <w:pPr>
        <w:spacing w:after="0" w:line="240" w:lineRule="auto"/>
      </w:pPr>
      <w:r>
        <w:separator/>
      </w:r>
    </w:p>
  </w:endnote>
  <w:endnote w:type="continuationSeparator" w:id="0">
    <w:p w:rsidR="00AC785B" w:rsidRDefault="00AC785B" w:rsidP="002B1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C0F" w:rsidRDefault="002B1C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6225554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B1C0F" w:rsidRDefault="002B1C0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44A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44A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B1C0F" w:rsidRDefault="002B1C0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C0F" w:rsidRDefault="002B1C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85B" w:rsidRDefault="00AC785B" w:rsidP="002B1C0F">
      <w:pPr>
        <w:spacing w:after="0" w:line="240" w:lineRule="auto"/>
      </w:pPr>
      <w:r>
        <w:separator/>
      </w:r>
    </w:p>
  </w:footnote>
  <w:footnote w:type="continuationSeparator" w:id="0">
    <w:p w:rsidR="00AC785B" w:rsidRDefault="00AC785B" w:rsidP="002B1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C0F" w:rsidRDefault="002B1C0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2B1C0F" w:rsidRPr="002B1C0F" w:rsidTr="002B1C0F">
      <w:trPr>
        <w:trHeight w:val="148"/>
      </w:trPr>
      <w:tc>
        <w:tcPr>
          <w:tcW w:w="2136" w:type="dxa"/>
          <w:vMerge w:val="restart"/>
        </w:tcPr>
        <w:p w:rsidR="002B1C0F" w:rsidRPr="002B1C0F" w:rsidRDefault="00AC785B" w:rsidP="002B1C0F">
          <w:pPr>
            <w:pStyle w:val="Header"/>
            <w:spacing w:line="360" w:lineRule="auto"/>
            <w:ind w:left="-630"/>
            <w:jc w:val="both"/>
            <w:rPr>
              <w:rFonts w:cstheme="minorHAnsi"/>
              <w:b/>
              <w:sz w:val="24"/>
              <w:szCs w:val="24"/>
            </w:rPr>
          </w:pPr>
          <w:r>
            <w:rPr>
              <w:b/>
              <w:noProof/>
              <w:sz w:val="24"/>
              <w:szCs w:val="24"/>
            </w:rPr>
            <w:pict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2440486" o:spid="_x0000_s2049" type="#_x0000_t136" style="position:absolute;left:0;text-align:left;margin-left:0;margin-top:0;width:569.85pt;height:89.95pt;rotation:315;z-index:-251658240;mso-position-horizontal:center;mso-position-horizontal-relative:margin;mso-position-vertical:center;mso-position-vertical-relative:margin" o:allowincell="f" fillcolor="black" stroked="f">
                <v:fill opacity=".5"/>
                <v:textpath style="font-family:&quot;Calibri&quot;;font-size:1pt" string="BIOMEDICAL LIMITED"/>
                <w10:wrap anchorx="margin" anchory="margin"/>
              </v:shape>
            </w:pict>
          </w:r>
          <w:r w:rsidR="002B1C0F" w:rsidRPr="002B1C0F">
            <w:rPr>
              <w:rFonts w:cstheme="minorHAnsi"/>
              <w:b/>
              <w:noProof/>
              <w:sz w:val="24"/>
              <w:szCs w:val="24"/>
            </w:rPr>
            <w:drawing>
              <wp:anchor distT="0" distB="0" distL="114300" distR="114300" simplePos="0" relativeHeight="251657216" behindDoc="1" locked="0" layoutInCell="1" allowOverlap="1" wp14:anchorId="3A876CF7" wp14:editId="786C1E10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2B1C0F" w:rsidRPr="002B1C0F" w:rsidRDefault="002B1C0F" w:rsidP="002B1C0F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2B1C0F" w:rsidRPr="002B1C0F" w:rsidRDefault="002B1C0F" w:rsidP="002B1C0F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2B1C0F" w:rsidRPr="002B1C0F" w:rsidTr="002B1C0F">
      <w:trPr>
        <w:trHeight w:val="382"/>
      </w:trPr>
      <w:tc>
        <w:tcPr>
          <w:tcW w:w="2136" w:type="dxa"/>
          <w:vMerge/>
        </w:tcPr>
        <w:p w:rsidR="002B1C0F" w:rsidRPr="002B1C0F" w:rsidRDefault="002B1C0F" w:rsidP="002B1C0F">
          <w:pPr>
            <w:pStyle w:val="Header"/>
            <w:spacing w:line="360" w:lineRule="auto"/>
            <w:jc w:val="both"/>
            <w:rPr>
              <w:rFonts w:cstheme="minorHAnsi"/>
              <w:b/>
              <w:sz w:val="24"/>
              <w:szCs w:val="24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2B1C0F" w:rsidRPr="002B1C0F" w:rsidRDefault="002B1C0F" w:rsidP="002B1C0F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cstheme="minorHAnsi"/>
              <w:b/>
              <w:bCs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PHARMACOVIGILANCE LITERATURE REVIEW CHECKLIST</w:t>
          </w:r>
        </w:p>
      </w:tc>
    </w:tr>
    <w:tr w:rsidR="002B1C0F" w:rsidRPr="002B1C0F" w:rsidTr="002B1C0F">
      <w:trPr>
        <w:trHeight w:val="132"/>
      </w:trPr>
      <w:tc>
        <w:tcPr>
          <w:tcW w:w="2136" w:type="dxa"/>
          <w:vMerge/>
        </w:tcPr>
        <w:p w:rsidR="002B1C0F" w:rsidRPr="002B1C0F" w:rsidRDefault="002B1C0F" w:rsidP="002B1C0F">
          <w:pPr>
            <w:pStyle w:val="Header"/>
            <w:spacing w:line="360" w:lineRule="auto"/>
            <w:jc w:val="both"/>
            <w:rPr>
              <w:rFonts w:cstheme="minorHAnsi"/>
              <w:b/>
              <w:sz w:val="24"/>
              <w:szCs w:val="24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2B1C0F" w:rsidRPr="002B1C0F" w:rsidRDefault="002B1C0F" w:rsidP="002B1C0F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2B1C0F" w:rsidRPr="002B1C0F" w:rsidRDefault="002B1C0F" w:rsidP="002B1C0F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BML-MDG-PV-003-F02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2B1C0F" w:rsidRPr="002B1C0F" w:rsidRDefault="002B1C0F" w:rsidP="002B1C0F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2B1C0F" w:rsidRPr="002B1C0F" w:rsidRDefault="002B1C0F" w:rsidP="002B1C0F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2B1C0F">
            <w:rPr>
              <w:rFonts w:cstheme="minorHAnsi"/>
              <w:b/>
              <w:sz w:val="24"/>
              <w:szCs w:val="24"/>
            </w:rPr>
            <w:t>BML-MDG-PV-003</w:t>
          </w:r>
        </w:p>
      </w:tc>
    </w:tr>
  </w:tbl>
  <w:p w:rsidR="002B1C0F" w:rsidRDefault="002B1C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C0F" w:rsidRDefault="002B1C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B0ED7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94258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840ABF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A02BE3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1045E"/>
    <w:multiLevelType w:val="hybridMultilevel"/>
    <w:tmpl w:val="FB744956"/>
    <w:lvl w:ilvl="0" w:tplc="B8F06E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DA4788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2A3D0C"/>
    <w:multiLevelType w:val="multilevel"/>
    <w:tmpl w:val="02A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C0F"/>
    <w:rsid w:val="002B1C0F"/>
    <w:rsid w:val="007F5161"/>
    <w:rsid w:val="007F7ACF"/>
    <w:rsid w:val="008344A4"/>
    <w:rsid w:val="00AC785B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C0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B1C0F"/>
  </w:style>
  <w:style w:type="paragraph" w:styleId="Footer">
    <w:name w:val="footer"/>
    <w:basedOn w:val="Normal"/>
    <w:link w:val="FooterChar"/>
    <w:uiPriority w:val="99"/>
    <w:unhideWhenUsed/>
    <w:rsid w:val="002B1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C0F"/>
  </w:style>
  <w:style w:type="table" w:styleId="TableGrid">
    <w:name w:val="Table Grid"/>
    <w:basedOn w:val="TableNormal"/>
    <w:uiPriority w:val="59"/>
    <w:rsid w:val="002B1C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1C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C0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B1C0F"/>
  </w:style>
  <w:style w:type="paragraph" w:styleId="Footer">
    <w:name w:val="footer"/>
    <w:basedOn w:val="Normal"/>
    <w:link w:val="FooterChar"/>
    <w:uiPriority w:val="99"/>
    <w:unhideWhenUsed/>
    <w:rsid w:val="002B1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C0F"/>
  </w:style>
  <w:style w:type="table" w:styleId="TableGrid">
    <w:name w:val="Table Grid"/>
    <w:basedOn w:val="TableNormal"/>
    <w:uiPriority w:val="59"/>
    <w:rsid w:val="002B1C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1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2025-08-07T11:00:00Z</cp:lastPrinted>
  <dcterms:created xsi:type="dcterms:W3CDTF">2025-07-26T19:07:00Z</dcterms:created>
  <dcterms:modified xsi:type="dcterms:W3CDTF">2025-08-07T11:00:00Z</dcterms:modified>
</cp:coreProperties>
</file>