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300"/>
      </w:pPr>
      <w:r>
        <w:t xml:space="preserve"/>
      </w:r>
    </w:p>
    <w:p>
      <w:pPr>
        <w:spacing w:after="60" w:before="0"/>
        <w:jc w:val="center"/>
      </w:pPr>
      <w:r>
        <w:rPr>
          <w:rFonts w:ascii="Arial" w:cs="Arial" w:eastAsia="Arial" w:hAnsi="Arial"/>
          <w:b/>
          <w:bCs/>
          <w:color w:val="2E75B6"/>
          <w:sz w:val="24"/>
          <w:szCs w:val="24"/>
        </w:rPr>
        <w:t xml:space="preserve">AARP AUTO INSURANCE</w:t>
      </w:r>
    </w:p>
    <w:p>
      <w:pPr>
        <w:spacing w:after="80" w:before="0"/>
        <w:jc w:val="center"/>
      </w:pPr>
      <w:r>
        <w:rPr>
          <w:rFonts w:ascii="Arial" w:cs="Arial" w:eastAsia="Arial" w:hAnsi="Arial"/>
          <w:color w:val="666666"/>
          <w:sz w:val="22"/>
          <w:szCs w:val="22"/>
        </w:rPr>
        <w:t xml:space="preserve">Email Marketing Campaign</w:t>
      </w:r>
    </w:p>
    <w:p>
      <w:pPr>
        <w:spacing w:after="40" w:before="0"/>
        <w:jc w:val="center"/>
      </w:pPr>
      <w:r>
        <w:rPr>
          <w:rFonts w:ascii="Arial" w:cs="Arial" w:eastAsia="Arial" w:hAnsi="Arial"/>
          <w:b/>
          <w:bCs/>
          <w:color w:val="1F3864"/>
          <w:sz w:val="52"/>
          <w:szCs w:val="52"/>
        </w:rPr>
        <w:t xml:space="preserve">WinBack Campaign</w:t>
      </w:r>
    </w:p>
    <w:p>
      <w:pPr>
        <w:spacing w:after="200" w:before="0"/>
        <w:jc w:val="center"/>
      </w:pPr>
      <w:r>
        <w:rPr>
          <w:rFonts w:ascii="Arial" w:cs="Arial" w:eastAsia="Arial" w:hAnsi="Arial"/>
          <w:i/>
          <w:iCs/>
          <w:color w:val="444444"/>
          <w:sz w:val="26"/>
          <w:szCs w:val="26"/>
        </w:rPr>
        <w:t xml:space="preserve">Business Process &amp; Data Source Document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Prepared by</w:t>
            </w:r>
          </w:p>
        </w:tc>
        <w:tc>
          <w:tcPr>
            <w:tcW w:type="dxa" w:w="6560"/>
            <w:tcBorders>
              <w:top w:val="none" w:color="FFFFFF" w:sz="0"/>
              <w:left w:val="none" w:color="FFFFFF" w:sz="0"/>
              <w:bottom w:val="none" w:color="FFFFFF" w:sz="0"/>
              <w:right w:val="none" w:color="FFFFFF" w:sz="0"/>
            </w:tcBorders>
            <w:shd w:fill="EBF3FB" w:val="clear"/>
            <w:tcMar>
              <w:top w:type="dxa" w:w="80"/>
              <w:left w:type="dxa" w:w="120"/>
              <w:bottom w:type="dxa" w:w="80"/>
              <w:right w:type="dxa" w:w="120"/>
            </w:tcMar>
          </w:tcPr>
          <w:p>
            <w:r>
              <w:rPr>
                <w:rFonts w:ascii="Arial" w:cs="Arial" w:eastAsia="Arial" w:hAnsi="Arial"/>
                <w:color w:val="1F3864"/>
                <w:sz w:val="18"/>
                <w:szCs w:val="18"/>
              </w:rPr>
              <w:t xml:space="preserve">Mayank Kumar — EXL PI Direct Marketing</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Client</w:t>
            </w:r>
          </w:p>
        </w:tc>
        <w:tc>
          <w:tcPr>
            <w:tcW w:type="dxa" w:w="6560"/>
            <w:tcBorders>
              <w:top w:val="none" w:color="FFFFFF" w:sz="0"/>
              <w:left w:val="none" w:color="FFFFFF" w:sz="0"/>
              <w:bottom w:val="none" w:color="FFFFFF" w:sz="0"/>
              <w:right w:val="none" w:color="FFFFFF" w:sz="0"/>
            </w:tcBorders>
            <w:shd w:fill="EBF3FB" w:val="clear"/>
            <w:tcMar>
              <w:top w:type="dxa" w:w="80"/>
              <w:left w:type="dxa" w:w="120"/>
              <w:bottom w:type="dxa" w:w="80"/>
              <w:right w:type="dxa" w:w="120"/>
            </w:tcMar>
          </w:tcPr>
          <w:p>
            <w:r>
              <w:rPr>
                <w:rFonts w:ascii="Arial" w:cs="Arial" w:eastAsia="Arial" w:hAnsi="Arial"/>
                <w:color w:val="1F3864"/>
                <w:sz w:val="18"/>
                <w:szCs w:val="18"/>
              </w:rPr>
              <w:t xml:space="preserve">Hartford / AARP Auto Insurance</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Campaign</w:t>
            </w:r>
          </w:p>
        </w:tc>
        <w:tc>
          <w:tcPr>
            <w:tcW w:type="dxa" w:w="6560"/>
            <w:tcBorders>
              <w:top w:val="none" w:color="FFFFFF" w:sz="0"/>
              <w:left w:val="none" w:color="FFFFFF" w:sz="0"/>
              <w:bottom w:val="none" w:color="FFFFFF" w:sz="0"/>
              <w:right w:val="none" w:color="FFFFFF" w:sz="0"/>
            </w:tcBorders>
            <w:shd w:fill="EBF3FB" w:val="clear"/>
            <w:tcMar>
              <w:top w:type="dxa" w:w="80"/>
              <w:left w:type="dxa" w:w="120"/>
              <w:bottom w:type="dxa" w:w="80"/>
              <w:right w:type="dxa" w:w="120"/>
            </w:tcMar>
          </w:tcPr>
          <w:p>
            <w:r>
              <w:rPr>
                <w:rFonts w:ascii="Arial" w:cs="Arial" w:eastAsia="Arial" w:hAnsi="Arial"/>
                <w:color w:val="1F3864"/>
                <w:sz w:val="18"/>
                <w:szCs w:val="18"/>
              </w:rPr>
              <w:t xml:space="preserve">WinBack (WB)</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Cycle</w:t>
            </w:r>
          </w:p>
        </w:tc>
        <w:tc>
          <w:tcPr>
            <w:tcW w:type="dxa" w:w="6560"/>
            <w:tcBorders>
              <w:top w:val="none" w:color="FFFFFF" w:sz="0"/>
              <w:left w:val="none" w:color="FFFFFF" w:sz="0"/>
              <w:bottom w:val="none" w:color="FFFFFF" w:sz="0"/>
              <w:right w:val="none" w:color="FFFFFF" w:sz="0"/>
            </w:tcBorders>
            <w:shd w:fill="EBF3FB" w:val="clear"/>
            <w:tcMar>
              <w:top w:type="dxa" w:w="80"/>
              <w:left w:type="dxa" w:w="120"/>
              <w:bottom w:type="dxa" w:w="80"/>
              <w:right w:type="dxa" w:w="120"/>
            </w:tcMar>
          </w:tcPr>
          <w:p>
            <w:r>
              <w:rPr>
                <w:rFonts w:ascii="Arial" w:cs="Arial" w:eastAsia="Arial" w:hAnsi="Arial"/>
                <w:color w:val="1F3864"/>
                <w:sz w:val="18"/>
                <w:szCs w:val="18"/>
              </w:rPr>
              <w:t xml:space="preserve">May 2026</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Document Type</w:t>
            </w:r>
          </w:p>
        </w:tc>
        <w:tc>
          <w:tcPr>
            <w:tcW w:type="dxa" w:w="6560"/>
            <w:tcBorders>
              <w:top w:val="none" w:color="FFFFFF" w:sz="0"/>
              <w:left w:val="none" w:color="FFFFFF" w:sz="0"/>
              <w:bottom w:val="none" w:color="FFFFFF" w:sz="0"/>
              <w:right w:val="none" w:color="FFFFFF" w:sz="0"/>
            </w:tcBorders>
            <w:shd w:fill="EBF3FB" w:val="clear"/>
            <w:tcMar>
              <w:top w:type="dxa" w:w="80"/>
              <w:left w:type="dxa" w:w="120"/>
              <w:bottom w:type="dxa" w:w="80"/>
              <w:right w:type="dxa" w:w="120"/>
            </w:tcMar>
          </w:tcPr>
          <w:p>
            <w:r>
              <w:rPr>
                <w:rFonts w:ascii="Arial" w:cs="Arial" w:eastAsia="Arial" w:hAnsi="Arial"/>
                <w:color w:val="1F3864"/>
                <w:sz w:val="18"/>
                <w:szCs w:val="18"/>
              </w:rPr>
              <w:t xml:space="preserve">Business — For Client and Stakeholder Review</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6560"/>
            <w:tcBorders>
              <w:top w:val="none" w:color="FFFFFF" w:sz="0"/>
              <w:left w:val="none" w:color="FFFFFF" w:sz="0"/>
              <w:bottom w:val="none" w:color="FFFFFF" w:sz="0"/>
              <w:right w:val="none" w:color="FFFFFF" w:sz="0"/>
            </w:tcBorders>
            <w:shd w:fill="EBF3FB" w:val="clear"/>
            <w:tcMar>
              <w:top w:type="dxa" w:w="80"/>
              <w:left w:type="dxa" w:w="120"/>
              <w:bottom w:type="dxa" w:w="80"/>
              <w:right w:type="dxa" w:w="120"/>
            </w:tcMar>
          </w:tcPr>
          <w:p>
            <w:r>
              <w:rPr>
                <w:rFonts w:ascii="Arial" w:cs="Arial" w:eastAsia="Arial" w:hAnsi="Arial"/>
                <w:color w:val="1F3864"/>
                <w:sz w:val="18"/>
                <w:szCs w:val="18"/>
              </w:rPr>
              <w:t xml:space="preserve">Final</w:t>
            </w:r>
          </w:p>
        </w:tc>
      </w:tr>
    </w:tbl>
    <w:p>
      <w:pPr>
        <w:spacing w:after="300" w:before="3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tcPr>
          <w:p>
            <w:pPr>
              <w:jc w:val="center"/>
            </w:pPr>
            <w:r>
              <w:rPr>
                <w:rFonts w:ascii="Arial" w:cs="Arial" w:eastAsia="Arial" w:hAnsi="Arial"/>
                <w:b/>
                <w:bCs/>
                <w:color w:val="FFFFFF"/>
                <w:sz w:val="32"/>
                <w:szCs w:val="32"/>
              </w:rPr>
              <w:t xml:space="preserve">1</w:t>
            </w:r>
          </w:p>
        </w:tc>
        <w:tc>
          <w:tcPr>
            <w:tcW w:type="dxa" w:w="856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r>
              <w:rPr>
                <w:rFonts w:ascii="Arial" w:cs="Arial" w:eastAsia="Arial" w:hAnsi="Arial"/>
                <w:b/>
                <w:bCs/>
                <w:color w:val="1F3864"/>
                <w:sz w:val="26"/>
                <w:szCs w:val="26"/>
              </w:rPr>
              <w:t xml:space="preserve">Campaign Overview</w:t>
            </w:r>
          </w:p>
        </w:tc>
      </w:tr>
    </w:tbl>
    <w:p>
      <w:pPr>
        <w:spacing w:after="100" w:before="100"/>
      </w:pPr>
      <w:r>
        <w:t xml:space="preserve"/>
      </w:r>
    </w:p>
    <w:p>
      <w:pPr>
        <w:spacing w:after="60" w:before="60"/>
      </w:pPr>
      <w:r>
        <w:rPr>
          <w:rFonts w:ascii="Arial" w:cs="Arial" w:eastAsia="Arial" w:hAnsi="Arial"/>
          <w:color w:val="333333"/>
          <w:sz w:val="20"/>
          <w:szCs w:val="20"/>
        </w:rPr>
        <w:t xml:space="preserve">The WinBack campaign is an email marketing programme designed to re-engage former AARP Auto Insurance customers. These are individuals who previously held an AARP Auto policy through The Hartford but whose policy has since lapsed or been cancelled. The objective is to identify those most likely to return and invite them to explore AARP Auto Insurance again.</w:t>
      </w:r>
    </w:p>
    <w:p>
      <w:pPr>
        <w:spacing w:after="100" w:before="100"/>
      </w:pPr>
      <w:r>
        <w:t xml:space="preserve"/>
      </w:r>
    </w:p>
    <w:p>
      <w:pPr>
        <w:spacing w:after="60" w:before="60"/>
      </w:pPr>
      <w:r>
        <w:rPr>
          <w:rFonts w:ascii="Arial" w:cs="Arial" w:eastAsia="Arial" w:hAnsi="Arial"/>
          <w:color w:val="333333"/>
          <w:sz w:val="20"/>
          <w:szCs w:val="20"/>
        </w:rPr>
        <w:t xml:space="preserve">Each month a fresh population of eligible individuals is identified, filtered through a series of eligibility and suppression rules, scored for propensity to purchase, and delivered as a targeted email mailing list. The campaign runs in parallel with other AARP Auto campaigns including ARQ, MO, and GMPQ, and care is taken to ensure individuals are not double-targeted across channels.</w:t>
      </w:r>
    </w:p>
    <w:p>
      <w:pPr>
        <w:spacing w:after="100" w:before="100"/>
      </w:pPr>
      <w:r>
        <w:t xml:space="preserve"/>
      </w:r>
    </w:p>
    <w:p>
      <w:pPr>
        <w:spacing w:after="60" w:before="60"/>
      </w:pPr>
      <w:r>
        <w:rPr>
          <w:rFonts w:ascii="Arial" w:cs="Arial" w:eastAsia="Arial" w:hAnsi="Arial"/>
          <w:color w:val="333333"/>
          <w:sz w:val="20"/>
          <w:szCs w:val="20"/>
        </w:rPr>
        <w:t xml:space="preserve">The final output is a file containing the names and addresses of everyone who should receive a WinBack email in that cycle, along with key flags and attributes used by the downstream fulfilment team.</w:t>
      </w:r>
    </w:p>
    <w:p>
      <w:pPr>
        <w:spacing w:after="10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tcPr>
          <w:p>
            <w:pPr>
              <w:jc w:val="center"/>
            </w:pPr>
            <w:r>
              <w:rPr>
                <w:rFonts w:ascii="Arial" w:cs="Arial" w:eastAsia="Arial" w:hAnsi="Arial"/>
                <w:b/>
                <w:bCs/>
                <w:color w:val="FFFFFF"/>
                <w:sz w:val="32"/>
                <w:szCs w:val="32"/>
              </w:rPr>
              <w:t xml:space="preserve">2</w:t>
            </w:r>
          </w:p>
        </w:tc>
        <w:tc>
          <w:tcPr>
            <w:tcW w:type="dxa" w:w="856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r>
              <w:rPr>
                <w:rFonts w:ascii="Arial" w:cs="Arial" w:eastAsia="Arial" w:hAnsi="Arial"/>
                <w:b/>
                <w:bCs/>
                <w:color w:val="1F3864"/>
                <w:sz w:val="26"/>
                <w:szCs w:val="26"/>
              </w:rPr>
              <w:t xml:space="preserve">Campaign Inputs</w:t>
            </w:r>
          </w:p>
        </w:tc>
      </w:tr>
    </w:tbl>
    <w:p>
      <w:pPr>
        <w:spacing w:after="100" w:before="100"/>
      </w:pPr>
      <w:r>
        <w:t xml:space="preserve"/>
      </w:r>
    </w:p>
    <w:p>
      <w:pPr>
        <w:spacing w:after="60" w:before="60"/>
      </w:pPr>
      <w:r>
        <w:rPr>
          <w:rFonts w:ascii="Arial" w:cs="Arial" w:eastAsia="Arial" w:hAnsi="Arial"/>
          <w:color w:val="333333"/>
          <w:sz w:val="20"/>
          <w:szCs w:val="20"/>
        </w:rPr>
        <w:t xml:space="preserve">The WinBack campaign draws from nine distinct data sources. Each source serves a specific and non-overlapping purpose. Below is a description of each input, what it contains, and why it is needed.</w:t>
      </w:r>
    </w:p>
    <w:p>
      <w:pPr>
        <w:spacing w:after="100" w:before="100"/>
      </w:pPr>
      <w:r>
        <w:t xml:space="preserve"/>
      </w:r>
    </w:p>
    <w:p>
      <w:pPr>
        <w:pStyle w:val="Heading2"/>
        <w:pBdr>
          <w:bottom w:val="single" w:color="2E75B6" w:sz="6" w:space="1"/>
        </w:pBdr>
        <w:spacing w:after="100" w:before="280"/>
      </w:pPr>
      <w:r>
        <w:rPr>
          <w:rFonts w:ascii="Arial" w:cs="Arial" w:eastAsia="Arial" w:hAnsi="Arial"/>
          <w:b/>
          <w:bCs/>
          <w:color w:val="2E75B6"/>
          <w:sz w:val="26"/>
          <w:szCs w:val="26"/>
        </w:rPr>
        <w:t xml:space="preserve">Input 1 — Campaign Split File (Eligible Population)</w:t>
      </w:r>
    </w:p>
    <w:p>
      <w:pPr>
        <w:spacing w:after="100" w:before="100"/>
      </w:pPr>
      <w:r>
        <w:t xml:space="preserve"/>
      </w:r>
    </w:p>
    <w:p>
      <w:pPr>
        <w:spacing w:after="60" w:before="60"/>
      </w:pPr>
      <w:r>
        <w:rPr>
          <w:rFonts w:ascii="Arial" w:cs="Arial" w:eastAsia="Arial" w:hAnsi="Arial"/>
          <w:color w:val="333333"/>
          <w:sz w:val="20"/>
          <w:szCs w:val="20"/>
        </w:rPr>
        <w:t xml:space="preserve">This is the foundation of the entire campaign. It is a file generated upstream each month that contains every individual across the AARP Auto universe who is potentially eligible for any email campaign. It covers all four campaigns — WinBack, ARQ, MO, and GMPQ — and the campaign assignment for each person is already pre-determined before the WinBack notebook runs.</w:t>
      </w:r>
    </w:p>
    <w:p>
      <w:pPr>
        <w:spacing w:after="100" w:before="100"/>
      </w:pPr>
      <w:r>
        <w:t xml:space="preserve"/>
      </w:r>
    </w:p>
    <w:p>
      <w:pPr>
        <w:spacing w:after="80" w:before="180"/>
      </w:pPr>
      <w:r>
        <w:rPr>
          <w:rFonts w:ascii="Arial" w:cs="Arial" w:eastAsia="Arial" w:hAnsi="Arial"/>
          <w:b/>
          <w:bCs/>
          <w:color w:val="1F3864"/>
          <w:sz w:val="22"/>
          <w:szCs w:val="22"/>
        </w:rPr>
        <w:t xml:space="preserve">What it contains:</w:t>
      </w:r>
    </w:p>
    <w:p>
      <w:pPr>
        <w:pStyle w:val="ListParagraph"/>
        <w:numPr>
          <w:ilvl w:val="0"/>
          <w:numId w:val="2"/>
        </w:numPr>
        <w:spacing w:after="40" w:before="40"/>
      </w:pPr>
      <w:r>
        <w:rPr>
          <w:rFonts w:ascii="Arial" w:cs="Arial" w:eastAsia="Arial" w:hAnsi="Arial"/>
          <w:color w:val="333333"/>
          <w:sz w:val="20"/>
          <w:szCs w:val="20"/>
        </w:rPr>
        <w:t xml:space="preserve">Unique identifiers for each individual, household, and address</w:t>
      </w:r>
    </w:p>
    <w:p>
      <w:pPr>
        <w:pStyle w:val="ListParagraph"/>
        <w:numPr>
          <w:ilvl w:val="0"/>
          <w:numId w:val="2"/>
        </w:numPr>
        <w:spacing w:after="40" w:before="40"/>
      </w:pPr>
      <w:r>
        <w:rPr>
          <w:rFonts w:ascii="Arial" w:cs="Arial" w:eastAsia="Arial" w:hAnsi="Arial"/>
          <w:color w:val="333333"/>
          <w:sz w:val="20"/>
          <w:szCs w:val="20"/>
        </w:rPr>
        <w:t xml:space="preserve">The person's age</w:t>
      </w:r>
    </w:p>
    <w:p>
      <w:pPr>
        <w:pStyle w:val="ListParagraph"/>
        <w:numPr>
          <w:ilvl w:val="0"/>
          <w:numId w:val="2"/>
        </w:numPr>
        <w:spacing w:after="40" w:before="40"/>
      </w:pPr>
      <w:r>
        <w:rPr>
          <w:rFonts w:ascii="Arial" w:cs="Arial" w:eastAsia="Arial" w:hAnsi="Arial"/>
          <w:color w:val="333333"/>
          <w:sz w:val="20"/>
          <w:szCs w:val="20"/>
        </w:rPr>
        <w:t xml:space="preserve">Their state and ZIP code</w:t>
      </w:r>
    </w:p>
    <w:p>
      <w:pPr>
        <w:pStyle w:val="ListParagraph"/>
        <w:numPr>
          <w:ilvl w:val="0"/>
          <w:numId w:val="2"/>
        </w:numPr>
        <w:spacing w:after="40" w:before="40"/>
      </w:pPr>
      <w:r>
        <w:rPr>
          <w:rFonts w:ascii="Arial" w:cs="Arial" w:eastAsia="Arial" w:hAnsi="Arial"/>
          <w:color w:val="333333"/>
          <w:sz w:val="20"/>
          <w:szCs w:val="20"/>
        </w:rPr>
        <w:t xml:space="preserve">Which campaign they have been assigned to</w:t>
      </w:r>
    </w:p>
    <w:p>
      <w:pPr>
        <w:pStyle w:val="ListParagraph"/>
        <w:numPr>
          <w:ilvl w:val="0"/>
          <w:numId w:val="2"/>
        </w:numPr>
        <w:spacing w:after="40" w:before="40"/>
      </w:pPr>
      <w:r>
        <w:rPr>
          <w:rFonts w:ascii="Arial" w:cs="Arial" w:eastAsia="Arial" w:hAnsi="Arial"/>
          <w:color w:val="333333"/>
          <w:sz w:val="20"/>
          <w:szCs w:val="20"/>
        </w:rPr>
        <w:t xml:space="preserve">Whether their ZIP code is in a non-target area for Auto insurance</w:t>
      </w:r>
    </w:p>
    <w:p>
      <w:pPr>
        <w:pStyle w:val="ListParagraph"/>
        <w:numPr>
          <w:ilvl w:val="0"/>
          <w:numId w:val="2"/>
        </w:numPr>
        <w:spacing w:after="40" w:before="40"/>
      </w:pPr>
      <w:r>
        <w:rPr>
          <w:rFonts w:ascii="Arial" w:cs="Arial" w:eastAsia="Arial" w:hAnsi="Arial"/>
          <w:color w:val="333333"/>
          <w:sz w:val="20"/>
          <w:szCs w:val="20"/>
        </w:rPr>
        <w:t xml:space="preserve">Whether they are an active AARP member or recently lapsed</w:t>
      </w:r>
    </w:p>
    <w:p>
      <w:pPr>
        <w:pStyle w:val="ListParagraph"/>
        <w:numPr>
          <w:ilvl w:val="0"/>
          <w:numId w:val="2"/>
        </w:numPr>
        <w:spacing w:after="40" w:before="40"/>
      </w:pPr>
      <w:r>
        <w:rPr>
          <w:rFonts w:ascii="Arial" w:cs="Arial" w:eastAsia="Arial" w:hAnsi="Arial"/>
          <w:color w:val="333333"/>
          <w:sz w:val="20"/>
          <w:szCs w:val="20"/>
        </w:rPr>
        <w:t xml:space="preserve">The date they were last declined for AARP Auto insurance</w:t>
      </w:r>
    </w:p>
    <w:p>
      <w:pPr>
        <w:pStyle w:val="ListParagraph"/>
        <w:numPr>
          <w:ilvl w:val="0"/>
          <w:numId w:val="2"/>
        </w:numPr>
        <w:spacing w:after="40" w:before="40"/>
      </w:pPr>
      <w:r>
        <w:rPr>
          <w:rFonts w:ascii="Arial" w:cs="Arial" w:eastAsia="Arial" w:hAnsi="Arial"/>
          <w:color w:val="333333"/>
          <w:sz w:val="20"/>
          <w:szCs w:val="20"/>
        </w:rPr>
        <w:t xml:space="preserve">Their DMA opt-out status — whether they have requested not to be contacted</w:t>
      </w:r>
    </w:p>
    <w:p>
      <w:pPr>
        <w:pStyle w:val="ListParagraph"/>
        <w:numPr>
          <w:ilvl w:val="0"/>
          <w:numId w:val="2"/>
        </w:numPr>
        <w:spacing w:after="40" w:before="40"/>
      </w:pPr>
      <w:r>
        <w:rPr>
          <w:rFonts w:ascii="Arial" w:cs="Arial" w:eastAsia="Arial" w:hAnsi="Arial"/>
          <w:color w:val="333333"/>
          <w:sz w:val="20"/>
          <w:szCs w:val="20"/>
        </w:rPr>
        <w:t xml:space="preserve">Their WinBack cancel source — the reason they originally left</w:t>
      </w:r>
    </w:p>
    <w:p>
      <w:pPr>
        <w:spacing w:after="100" w:before="100"/>
      </w:pPr>
      <w:r>
        <w:t xml:space="preserve"/>
      </w:r>
    </w:p>
    <w:p>
      <w:pPr>
        <w:spacing w:after="80" w:before="180"/>
      </w:pPr>
      <w:r>
        <w:rPr>
          <w:rFonts w:ascii="Arial" w:cs="Arial" w:eastAsia="Arial" w:hAnsi="Arial"/>
          <w:b/>
          <w:bCs/>
          <w:color w:val="1F3864"/>
          <w:sz w:val="22"/>
          <w:szCs w:val="22"/>
        </w:rPr>
        <w:t xml:space="preserve">Why we need it:</w:t>
      </w:r>
    </w:p>
    <w:p>
      <w:pPr>
        <w:spacing w:after="60" w:before="60"/>
      </w:pPr>
      <w:r>
        <w:rPr>
          <w:rFonts w:ascii="Arial" w:cs="Arial" w:eastAsia="Arial" w:hAnsi="Arial"/>
          <w:color w:val="333333"/>
          <w:sz w:val="20"/>
          <w:szCs w:val="20"/>
        </w:rPr>
        <w:t xml:space="preserve">Without this file there is no population to work with. Every suppression and scoring step downstream operates on the records in this file. The WinBack campaign filters this file to only those assigned to the WB campaign, then progressively removes ineligible individuals through the suppression steps described in Section 4.</w:t>
      </w:r>
    </w:p>
    <w:p>
      <w:pPr>
        <w:spacing w:after="100" w:before="100"/>
      </w:pPr>
      <w:r>
        <w:t xml:space="preserve"/>
      </w:r>
    </w:p>
    <w:p>
      <w:pPr>
        <w:pStyle w:val="Heading2"/>
        <w:pBdr>
          <w:bottom w:val="single" w:color="2E75B6" w:sz="6" w:space="1"/>
        </w:pBdr>
        <w:spacing w:after="100" w:before="280"/>
      </w:pPr>
      <w:r>
        <w:rPr>
          <w:rFonts w:ascii="Arial" w:cs="Arial" w:eastAsia="Arial" w:hAnsi="Arial"/>
          <w:b/>
          <w:bCs/>
          <w:color w:val="2E75B6"/>
          <w:sz w:val="26"/>
          <w:szCs w:val="26"/>
        </w:rPr>
        <w:t xml:space="preserve">Input 2 — Campaign Parameter File</w:t>
      </w:r>
    </w:p>
    <w:p>
      <w:pPr>
        <w:spacing w:after="100" w:before="100"/>
      </w:pPr>
      <w:r>
        <w:t xml:space="preserve"/>
      </w:r>
    </w:p>
    <w:p>
      <w:pPr>
        <w:spacing w:after="60" w:before="60"/>
      </w:pPr>
      <w:r>
        <w:rPr>
          <w:rFonts w:ascii="Arial" w:cs="Arial" w:eastAsia="Arial" w:hAnsi="Arial"/>
          <w:color w:val="333333"/>
          <w:sz w:val="20"/>
          <w:szCs w:val="20"/>
        </w:rPr>
        <w:t xml:space="preserve">An Excel file maintained by the marketing team that holds campaign-level settings which change from month to month. It has two sheets relevant to WinBack.</w:t>
      </w:r>
    </w:p>
    <w:p>
      <w:pPr>
        <w:spacing w:after="100" w:before="100"/>
      </w:pPr>
      <w:r>
        <w:t xml:space="preserve"/>
      </w:r>
    </w:p>
    <w:p>
      <w:pPr>
        <w:spacing w:after="80" w:before="180"/>
      </w:pPr>
      <w:r>
        <w:rPr>
          <w:rFonts w:ascii="Arial" w:cs="Arial" w:eastAsia="Arial" w:hAnsi="Arial"/>
          <w:b/>
          <w:bCs/>
          <w:color w:val="1F3864"/>
          <w:sz w:val="22"/>
          <w:szCs w:val="22"/>
        </w:rPr>
        <w:t xml:space="preserve">What it contains:</w:t>
      </w:r>
    </w:p>
    <w:p>
      <w:pPr>
        <w:pStyle w:val="ListParagraph"/>
        <w:numPr>
          <w:ilvl w:val="0"/>
          <w:numId w:val="2"/>
        </w:numPr>
        <w:spacing w:after="40" w:before="40"/>
      </w:pPr>
      <w:r>
        <w:rPr>
          <w:rFonts w:ascii="Arial" w:cs="Arial" w:eastAsia="Arial" w:hAnsi="Arial"/>
          <w:color w:val="333333"/>
          <w:sz w:val="20"/>
          <w:szCs w:val="20"/>
        </w:rPr>
        <w:t xml:space="preserve">Mail Selection Date — the official date of the mailing cycle, used as the anchor for all date-based calculations</w:t>
      </w:r>
    </w:p>
    <w:p>
      <w:pPr>
        <w:pStyle w:val="ListParagraph"/>
        <w:numPr>
          <w:ilvl w:val="0"/>
          <w:numId w:val="2"/>
        </w:numPr>
        <w:spacing w:after="40" w:before="40"/>
      </w:pPr>
      <w:r>
        <w:rPr>
          <w:rFonts w:ascii="Arial" w:cs="Arial" w:eastAsia="Arial" w:hAnsi="Arial"/>
          <w:color w:val="333333"/>
          <w:sz w:val="20"/>
          <w:szCs w:val="20"/>
        </w:rPr>
        <w:t xml:space="preserve">Propensity score model identifiers — which specific score columns to use for this campaign</w:t>
      </w:r>
    </w:p>
    <w:p>
      <w:pPr>
        <w:pStyle w:val="ListParagraph"/>
        <w:numPr>
          <w:ilvl w:val="0"/>
          <w:numId w:val="2"/>
        </w:numPr>
        <w:spacing w:after="40" w:before="40"/>
      </w:pPr>
      <w:r>
        <w:rPr>
          <w:rFonts w:ascii="Arial" w:cs="Arial" w:eastAsia="Arial" w:hAnsi="Arial"/>
          <w:color w:val="333333"/>
          <w:sz w:val="20"/>
          <w:szCs w:val="20"/>
        </w:rPr>
        <w:t xml:space="preserve">Score cutoff thresholds — the minimum score a person needs before they are considered high-priority for another channel and therefore excluded from the email</w:t>
      </w:r>
    </w:p>
    <w:p>
      <w:pPr>
        <w:spacing w:after="100" w:before="100"/>
      </w:pPr>
      <w:r>
        <w:t xml:space="preserve"/>
      </w:r>
    </w:p>
    <w:p>
      <w:pPr>
        <w:spacing w:after="80" w:before="180"/>
      </w:pPr>
      <w:r>
        <w:rPr>
          <w:rFonts w:ascii="Arial" w:cs="Arial" w:eastAsia="Arial" w:hAnsi="Arial"/>
          <w:b/>
          <w:bCs/>
          <w:color w:val="1F3864"/>
          <w:sz w:val="22"/>
          <w:szCs w:val="22"/>
        </w:rPr>
        <w:t xml:space="preserve">Why we need it:</w:t>
      </w:r>
    </w:p>
    <w:p>
      <w:pPr>
        <w:spacing w:after="60" w:before="60"/>
      </w:pPr>
      <w:r>
        <w:rPr>
          <w:rFonts w:ascii="Arial" w:cs="Arial" w:eastAsia="Arial" w:hAnsi="Arial"/>
          <w:color w:val="333333"/>
          <w:sz w:val="20"/>
          <w:szCs w:val="20"/>
        </w:rPr>
        <w:t xml:space="preserve">These settings change every cycle. Storing them in a parameter file means the campaign team can update the mail date and thresholds each month without requiring a code change. The mail date in particular drives several critical date calculations including the auto decline lookback window and the lapse date window.</w:t>
      </w:r>
    </w:p>
    <w:p>
      <w:pPr>
        <w:spacing w:after="100" w:before="100"/>
      </w:pPr>
      <w:r>
        <w:t xml:space="preserve"/>
      </w:r>
    </w:p>
    <w:p>
      <w:pPr>
        <w:pStyle w:val="Heading2"/>
        <w:pBdr>
          <w:bottom w:val="single" w:color="2E75B6" w:sz="6" w:space="1"/>
        </w:pBdr>
        <w:spacing w:after="100" w:before="280"/>
      </w:pPr>
      <w:r>
        <w:rPr>
          <w:rFonts w:ascii="Arial" w:cs="Arial" w:eastAsia="Arial" w:hAnsi="Arial"/>
          <w:b/>
          <w:bCs/>
          <w:color w:val="2E75B6"/>
          <w:sz w:val="26"/>
          <w:szCs w:val="26"/>
        </w:rPr>
        <w:t xml:space="preserve">Input 3 — Age Configuration File</w:t>
      </w:r>
    </w:p>
    <w:p>
      <w:pPr>
        <w:spacing w:after="100" w:before="100"/>
      </w:pPr>
      <w:r>
        <w:t xml:space="preserve"/>
      </w:r>
    </w:p>
    <w:p>
      <w:pPr>
        <w:spacing w:after="60" w:before="60"/>
      </w:pPr>
      <w:r>
        <w:rPr>
          <w:rFonts w:ascii="Arial" w:cs="Arial" w:eastAsia="Arial" w:hAnsi="Arial"/>
          <w:color w:val="333333"/>
          <w:sz w:val="20"/>
          <w:szCs w:val="20"/>
        </w:rPr>
        <w:t xml:space="preserve">A JSON configuration file that stores the minimum and maximum age eligibility rules for each campaign. For WinBack the current rules are a minimum age of 50 and a maximum age of 82.</w:t>
      </w:r>
    </w:p>
    <w:p>
      <w:pPr>
        <w:spacing w:after="100" w:before="100"/>
      </w:pPr>
      <w:r>
        <w:t xml:space="preserve"/>
      </w:r>
    </w:p>
    <w:p>
      <w:pPr>
        <w:spacing w:after="80" w:before="180"/>
      </w:pPr>
      <w:r>
        <w:rPr>
          <w:rFonts w:ascii="Arial" w:cs="Arial" w:eastAsia="Arial" w:hAnsi="Arial"/>
          <w:b/>
          <w:bCs/>
          <w:color w:val="1F3864"/>
          <w:sz w:val="22"/>
          <w:szCs w:val="22"/>
        </w:rPr>
        <w:t xml:space="preserve">What it contains:</w:t>
      </w:r>
    </w:p>
    <w:p>
      <w:pPr>
        <w:pStyle w:val="ListParagraph"/>
        <w:numPr>
          <w:ilvl w:val="0"/>
          <w:numId w:val="2"/>
        </w:numPr>
        <w:spacing w:after="40" w:before="40"/>
      </w:pPr>
      <w:r>
        <w:rPr>
          <w:rFonts w:ascii="Arial" w:cs="Arial" w:eastAsia="Arial" w:hAnsi="Arial"/>
          <w:color w:val="333333"/>
          <w:sz w:val="20"/>
          <w:szCs w:val="20"/>
        </w:rPr>
        <w:t xml:space="preserve">Minimum eligible age — 50</w:t>
      </w:r>
    </w:p>
    <w:p>
      <w:pPr>
        <w:pStyle w:val="ListParagraph"/>
        <w:numPr>
          <w:ilvl w:val="0"/>
          <w:numId w:val="2"/>
        </w:numPr>
        <w:spacing w:after="40" w:before="40"/>
      </w:pPr>
      <w:r>
        <w:rPr>
          <w:rFonts w:ascii="Arial" w:cs="Arial" w:eastAsia="Arial" w:hAnsi="Arial"/>
          <w:color w:val="333333"/>
          <w:sz w:val="20"/>
          <w:szCs w:val="20"/>
        </w:rPr>
        <w:t xml:space="preserve">Maximum eligible age — 82</w:t>
      </w:r>
    </w:p>
    <w:p>
      <w:pPr>
        <w:spacing w:after="100" w:before="100"/>
      </w:pPr>
      <w:r>
        <w:t xml:space="preserve"/>
      </w:r>
    </w:p>
    <w:p>
      <w:pPr>
        <w:spacing w:after="80" w:before="180"/>
      </w:pPr>
      <w:r>
        <w:rPr>
          <w:rFonts w:ascii="Arial" w:cs="Arial" w:eastAsia="Arial" w:hAnsi="Arial"/>
          <w:b/>
          <w:bCs/>
          <w:color w:val="1F3864"/>
          <w:sz w:val="22"/>
          <w:szCs w:val="22"/>
        </w:rPr>
        <w:t xml:space="preserve">Why we need it:</w:t>
      </w:r>
    </w:p>
    <w:p>
      <w:pPr>
        <w:spacing w:after="60" w:before="60"/>
      </w:pPr>
      <w:r>
        <w:rPr>
          <w:rFonts w:ascii="Arial" w:cs="Arial" w:eastAsia="Arial" w:hAnsi="Arial"/>
          <w:color w:val="333333"/>
          <w:sz w:val="20"/>
          <w:szCs w:val="20"/>
        </w:rPr>
        <w:t xml:space="preserve">AARP Auto Insurance has age eligibility requirements. Anyone outside the 50 to 82 age band is not eligible for the product regardless of any other criteria. Having this in a dedicated configuration file means the eligibility band can be updated without touching the campaign code. This was recently changed from a state-specific Excel-driven approach to a single flat rule applied consistently across all states.</w:t>
      </w:r>
    </w:p>
    <w:p>
      <w:pPr>
        <w:spacing w:after="100" w:before="100"/>
      </w:pPr>
      <w:r>
        <w:t xml:space="preserve"/>
      </w:r>
    </w:p>
    <w:p>
      <w:pPr>
        <w:pStyle w:val="Heading2"/>
        <w:pBdr>
          <w:bottom w:val="single" w:color="2E75B6" w:sz="6" w:space="1"/>
        </w:pBdr>
        <w:spacing w:after="100" w:before="280"/>
      </w:pPr>
      <w:r>
        <w:rPr>
          <w:rFonts w:ascii="Arial" w:cs="Arial" w:eastAsia="Arial" w:hAnsi="Arial"/>
          <w:b/>
          <w:bCs/>
          <w:color w:val="2E75B6"/>
          <w:sz w:val="26"/>
          <w:szCs w:val="26"/>
        </w:rPr>
        <w:t xml:space="preserve">Input 4 — Individual Propensity Scores</w:t>
      </w:r>
    </w:p>
    <w:p>
      <w:pPr>
        <w:spacing w:after="100" w:before="100"/>
      </w:pPr>
      <w:r>
        <w:t xml:space="preserve"/>
      </w:r>
    </w:p>
    <w:p>
      <w:pPr>
        <w:spacing w:after="60" w:before="60"/>
      </w:pPr>
      <w:r>
        <w:rPr>
          <w:rFonts w:ascii="Arial" w:cs="Arial" w:eastAsia="Arial" w:hAnsi="Arial"/>
          <w:color w:val="333333"/>
          <w:sz w:val="20"/>
          <w:szCs w:val="20"/>
        </w:rPr>
        <w:t xml:space="preserve">A Snowflake database table maintained by the data science team. It contains model-generated scores for every individual in the AARP Auto universe, predicting their likelihood of purchasing an auto insurance policy.</w:t>
      </w:r>
    </w:p>
    <w:p>
      <w:pPr>
        <w:spacing w:after="100" w:before="100"/>
      </w:pPr>
      <w:r>
        <w:t xml:space="preserve"/>
      </w:r>
    </w:p>
    <w:p>
      <w:pPr>
        <w:spacing w:after="80" w:before="180"/>
      </w:pPr>
      <w:r>
        <w:rPr>
          <w:rFonts w:ascii="Arial" w:cs="Arial" w:eastAsia="Arial" w:hAnsi="Arial"/>
          <w:b/>
          <w:bCs/>
          <w:color w:val="1F3864"/>
          <w:sz w:val="22"/>
          <w:szCs w:val="22"/>
        </w:rPr>
        <w:t xml:space="preserve">What it contains:</w:t>
      </w:r>
    </w:p>
    <w:p>
      <w:pPr>
        <w:pStyle w:val="ListParagraph"/>
        <w:numPr>
          <w:ilvl w:val="0"/>
          <w:numId w:val="2"/>
        </w:numPr>
        <w:spacing w:after="40" w:before="40"/>
      </w:pPr>
      <w:r>
        <w:rPr>
          <w:rFonts w:ascii="Arial" w:cs="Arial" w:eastAsia="Arial" w:hAnsi="Arial"/>
          <w:color w:val="333333"/>
          <w:sz w:val="20"/>
          <w:szCs w:val="20"/>
        </w:rPr>
        <w:t xml:space="preserve">PLM Score — predicts likelihood of purchasing through the preferred marketing channel</w:t>
      </w:r>
    </w:p>
    <w:p>
      <w:pPr>
        <w:pStyle w:val="ListParagraph"/>
        <w:numPr>
          <w:ilvl w:val="0"/>
          <w:numId w:val="2"/>
        </w:numPr>
        <w:spacing w:after="40" w:before="40"/>
      </w:pPr>
      <w:r>
        <w:rPr>
          <w:rFonts w:ascii="Arial" w:cs="Arial" w:eastAsia="Arial" w:hAnsi="Arial"/>
          <w:color w:val="333333"/>
          <w:sz w:val="20"/>
          <w:szCs w:val="20"/>
        </w:rPr>
        <w:t xml:space="preserve">PRM Score — predicts likelihood of purchasing through the retention marketing channel</w:t>
      </w:r>
    </w:p>
    <w:p>
      <w:pPr>
        <w:pStyle w:val="ListParagraph"/>
        <w:numPr>
          <w:ilvl w:val="0"/>
          <w:numId w:val="2"/>
        </w:numPr>
        <w:spacing w:after="40" w:before="40"/>
      </w:pPr>
      <w:r>
        <w:rPr>
          <w:rFonts w:ascii="Arial" w:cs="Arial" w:eastAsia="Arial" w:hAnsi="Arial"/>
          <w:color w:val="333333"/>
          <w:sz w:val="20"/>
          <w:szCs w:val="20"/>
        </w:rPr>
        <w:t xml:space="preserve">WinBack campaign score — a score specific to this campaign</w:t>
      </w:r>
    </w:p>
    <w:p>
      <w:pPr>
        <w:pStyle w:val="ListParagraph"/>
        <w:numPr>
          <w:ilvl w:val="0"/>
          <w:numId w:val="2"/>
        </w:numPr>
        <w:spacing w:after="40" w:before="40"/>
      </w:pPr>
      <w:r>
        <w:rPr>
          <w:rFonts w:ascii="Arial" w:cs="Arial" w:eastAsia="Arial" w:hAnsi="Arial"/>
          <w:color w:val="333333"/>
          <w:sz w:val="20"/>
          <w:szCs w:val="20"/>
        </w:rPr>
        <w:t xml:space="preserve">Policy cancel or non-renewal code — records why a person's previous policy ended</w:t>
      </w:r>
    </w:p>
    <w:p>
      <w:pPr>
        <w:spacing w:after="100" w:before="100"/>
      </w:pPr>
      <w:r>
        <w:t xml:space="preserve"/>
      </w:r>
    </w:p>
    <w:p>
      <w:pPr>
        <w:spacing w:after="80" w:before="180"/>
      </w:pPr>
      <w:r>
        <w:rPr>
          <w:rFonts w:ascii="Arial" w:cs="Arial" w:eastAsia="Arial" w:hAnsi="Arial"/>
          <w:b/>
          <w:bCs/>
          <w:color w:val="1F3864"/>
          <w:sz w:val="22"/>
          <w:szCs w:val="22"/>
        </w:rPr>
        <w:t xml:space="preserve">Why we need it:</w:t>
      </w:r>
    </w:p>
    <w:p>
      <w:pPr>
        <w:spacing w:after="60" w:before="60"/>
      </w:pPr>
      <w:r>
        <w:rPr>
          <w:rFonts w:ascii="Arial" w:cs="Arial" w:eastAsia="Arial" w:hAnsi="Arial"/>
          <w:color w:val="333333"/>
          <w:sz w:val="20"/>
          <w:szCs w:val="20"/>
        </w:rPr>
        <w:t xml:space="preserve">The propensity scores serve two separate purposes. First they are used to suppress individuals who are already being targeted through a higher-priority channel. If someone scores highly enough on both PLM and PRM they are already in a direct outreach programme and sending them a WinBack email would create channel conflict. Second the policy cancel code is used to exclude individuals whose policy ended for specific reasons such as fraud, non-payment, or underwriting decline, where re-marketing is not appropriate.</w:t>
      </w:r>
    </w:p>
    <w:p>
      <w:pPr>
        <w:spacing w:after="100" w:before="100"/>
      </w:pPr>
      <w:r>
        <w:t xml:space="preserve"/>
      </w:r>
    </w:p>
    <w:p>
      <w:pPr>
        <w:pStyle w:val="Heading2"/>
        <w:pBdr>
          <w:bottom w:val="single" w:color="2E75B6" w:sz="6" w:space="1"/>
        </w:pBdr>
        <w:spacing w:after="100" w:before="280"/>
      </w:pPr>
      <w:r>
        <w:rPr>
          <w:rFonts w:ascii="Arial" w:cs="Arial" w:eastAsia="Arial" w:hAnsi="Arial"/>
          <w:b/>
          <w:bCs/>
          <w:color w:val="2E75B6"/>
          <w:sz w:val="26"/>
          <w:szCs w:val="26"/>
        </w:rPr>
        <w:t xml:space="preserve">Input 5 — Residence Level Fallback Scores</w:t>
      </w:r>
    </w:p>
    <w:p>
      <w:pPr>
        <w:spacing w:after="100" w:before="100"/>
      </w:pPr>
      <w:r>
        <w:t xml:space="preserve"/>
      </w:r>
    </w:p>
    <w:p>
      <w:pPr>
        <w:spacing w:after="60" w:before="60"/>
      </w:pPr>
      <w:r>
        <w:rPr>
          <w:rFonts w:ascii="Arial" w:cs="Arial" w:eastAsia="Arial" w:hAnsi="Arial"/>
          <w:color w:val="333333"/>
          <w:sz w:val="20"/>
          <w:szCs w:val="20"/>
        </w:rPr>
        <w:t xml:space="preserve">A second Snowflake table that contains propensity scores calculated at the address level rather than the individual level. This is a static model output used as a backup when an individual does not have their own score.</w:t>
      </w:r>
    </w:p>
    <w:p>
      <w:pPr>
        <w:spacing w:after="100" w:before="100"/>
      </w:pPr>
      <w:r>
        <w:t xml:space="preserve"/>
      </w:r>
    </w:p>
    <w:p>
      <w:pPr>
        <w:spacing w:after="80" w:before="180"/>
      </w:pPr>
      <w:r>
        <w:rPr>
          <w:rFonts w:ascii="Arial" w:cs="Arial" w:eastAsia="Arial" w:hAnsi="Arial"/>
          <w:b/>
          <w:bCs/>
          <w:color w:val="1F3864"/>
          <w:sz w:val="22"/>
          <w:szCs w:val="22"/>
        </w:rPr>
        <w:t xml:space="preserve">What it contains:</w:t>
      </w:r>
    </w:p>
    <w:p>
      <w:pPr>
        <w:pStyle w:val="ListParagraph"/>
        <w:numPr>
          <w:ilvl w:val="0"/>
          <w:numId w:val="2"/>
        </w:numPr>
        <w:spacing w:after="40" w:before="40"/>
      </w:pPr>
      <w:r>
        <w:rPr>
          <w:rFonts w:ascii="Arial" w:cs="Arial" w:eastAsia="Arial" w:hAnsi="Arial"/>
          <w:color w:val="333333"/>
          <w:sz w:val="20"/>
          <w:szCs w:val="20"/>
        </w:rPr>
        <w:t xml:space="preserve">Address-level PLM score</w:t>
      </w:r>
    </w:p>
    <w:p>
      <w:pPr>
        <w:pStyle w:val="ListParagraph"/>
        <w:numPr>
          <w:ilvl w:val="0"/>
          <w:numId w:val="2"/>
        </w:numPr>
        <w:spacing w:after="40" w:before="40"/>
      </w:pPr>
      <w:r>
        <w:rPr>
          <w:rFonts w:ascii="Arial" w:cs="Arial" w:eastAsia="Arial" w:hAnsi="Arial"/>
          <w:color w:val="333333"/>
          <w:sz w:val="20"/>
          <w:szCs w:val="20"/>
        </w:rPr>
        <w:t xml:space="preserve">Address-level PRM score</w:t>
      </w:r>
    </w:p>
    <w:p>
      <w:pPr>
        <w:spacing w:after="100" w:before="100"/>
      </w:pPr>
      <w:r>
        <w:t xml:space="preserve"/>
      </w:r>
    </w:p>
    <w:p>
      <w:pPr>
        <w:spacing w:after="80" w:before="180"/>
      </w:pPr>
      <w:r>
        <w:rPr>
          <w:rFonts w:ascii="Arial" w:cs="Arial" w:eastAsia="Arial" w:hAnsi="Arial"/>
          <w:b/>
          <w:bCs/>
          <w:color w:val="1F3864"/>
          <w:sz w:val="22"/>
          <w:szCs w:val="22"/>
        </w:rPr>
        <w:t xml:space="preserve">Why we need it:</w:t>
      </w:r>
    </w:p>
    <w:p>
      <w:pPr>
        <w:spacing w:after="60" w:before="60"/>
      </w:pPr>
      <w:r>
        <w:rPr>
          <w:rFonts w:ascii="Arial" w:cs="Arial" w:eastAsia="Arial" w:hAnsi="Arial"/>
          <w:color w:val="333333"/>
          <w:sz w:val="20"/>
          <w:szCs w:val="20"/>
        </w:rPr>
        <w:t xml:space="preserve">Not every individual will have a personal propensity score in the main scoring table. Rather than excluding these people from the campaign, the system looks at whether other individuals at the same address have been scored and uses those scores as a proxy. This ensures the campaign reaches as many eligible people as possible without introducing unfair exclusions.</w:t>
      </w:r>
    </w:p>
    <w:p>
      <w:pPr>
        <w:spacing w:after="100" w:before="100"/>
      </w:pPr>
      <w:r>
        <w:t xml:space="preserve"/>
      </w:r>
    </w:p>
    <w:p>
      <w:pPr>
        <w:pStyle w:val="Heading2"/>
        <w:pBdr>
          <w:bottom w:val="single" w:color="2E75B6" w:sz="6" w:space="1"/>
        </w:pBdr>
        <w:spacing w:after="100" w:before="280"/>
      </w:pPr>
      <w:r>
        <w:rPr>
          <w:rFonts w:ascii="Arial" w:cs="Arial" w:eastAsia="Arial" w:hAnsi="Arial"/>
          <w:b/>
          <w:bCs/>
          <w:color w:val="2E75B6"/>
          <w:sz w:val="26"/>
          <w:szCs w:val="26"/>
        </w:rPr>
        <w:t xml:space="preserve">Input 6 — Home Insurance ZIP Code List</w:t>
      </w:r>
    </w:p>
    <w:p>
      <w:pPr>
        <w:spacing w:after="100" w:before="100"/>
      </w:pPr>
      <w:r>
        <w:t xml:space="preserve"/>
      </w:r>
    </w:p>
    <w:p>
      <w:pPr>
        <w:spacing w:after="60" w:before="60"/>
      </w:pPr>
      <w:r>
        <w:rPr>
          <w:rFonts w:ascii="Arial" w:cs="Arial" w:eastAsia="Arial" w:hAnsi="Arial"/>
          <w:color w:val="333333"/>
          <w:sz w:val="20"/>
          <w:szCs w:val="20"/>
        </w:rPr>
        <w:t xml:space="preserve">A Snowflake table that contains ZIP codes associated with home insurance products.</w:t>
      </w:r>
    </w:p>
    <w:p>
      <w:pPr>
        <w:spacing w:after="100" w:before="100"/>
      </w:pPr>
      <w:r>
        <w:t xml:space="preserve"/>
      </w:r>
    </w:p>
    <w:p>
      <w:pPr>
        <w:spacing w:after="80" w:before="180"/>
      </w:pPr>
      <w:r>
        <w:rPr>
          <w:rFonts w:ascii="Arial" w:cs="Arial" w:eastAsia="Arial" w:hAnsi="Arial"/>
          <w:b/>
          <w:bCs/>
          <w:color w:val="1F3864"/>
          <w:sz w:val="22"/>
          <w:szCs w:val="22"/>
        </w:rPr>
        <w:t xml:space="preserve">What it contains:</w:t>
      </w:r>
    </w:p>
    <w:p>
      <w:pPr>
        <w:pStyle w:val="ListParagraph"/>
        <w:numPr>
          <w:ilvl w:val="0"/>
          <w:numId w:val="2"/>
        </w:numPr>
        <w:spacing w:after="40" w:before="40"/>
      </w:pPr>
      <w:r>
        <w:rPr>
          <w:rFonts w:ascii="Arial" w:cs="Arial" w:eastAsia="Arial" w:hAnsi="Arial"/>
          <w:color w:val="333333"/>
          <w:sz w:val="20"/>
          <w:szCs w:val="20"/>
        </w:rPr>
        <w:t xml:space="preserve">ZIP codes where the primary line of business is home insurance</w:t>
      </w:r>
    </w:p>
    <w:p>
      <w:pPr>
        <w:spacing w:after="100" w:before="100"/>
      </w:pPr>
      <w:r>
        <w:t xml:space="preserve"/>
      </w:r>
    </w:p>
    <w:p>
      <w:pPr>
        <w:spacing w:after="80" w:before="180"/>
      </w:pPr>
      <w:r>
        <w:rPr>
          <w:rFonts w:ascii="Arial" w:cs="Arial" w:eastAsia="Arial" w:hAnsi="Arial"/>
          <w:b/>
          <w:bCs/>
          <w:color w:val="1F3864"/>
          <w:sz w:val="22"/>
          <w:szCs w:val="22"/>
        </w:rPr>
        <w:t xml:space="preserve">Why we need it:</w:t>
      </w:r>
    </w:p>
    <w:p>
      <w:pPr>
        <w:spacing w:after="60" w:before="60"/>
      </w:pPr>
      <w:r>
        <w:rPr>
          <w:rFonts w:ascii="Arial" w:cs="Arial" w:eastAsia="Arial" w:hAnsi="Arial"/>
          <w:color w:val="333333"/>
          <w:sz w:val="20"/>
          <w:szCs w:val="20"/>
        </w:rPr>
        <w:t xml:space="preserve">A HOME_FLAG is added to every record in the final output. This flag indicates whether the recipient's ZIP is primarily associated with home insurance. It is used for downstream reporting and channel coordination and does not affect who receives the email. It gives the client visibility into the home insurance overlap within the WinBack mailing.</w:t>
      </w:r>
    </w:p>
    <w:p>
      <w:pPr>
        <w:spacing w:after="100" w:before="100"/>
      </w:pPr>
      <w:r>
        <w:t xml:space="preserve"/>
      </w:r>
    </w:p>
    <w:p>
      <w:pPr>
        <w:pStyle w:val="Heading2"/>
        <w:pBdr>
          <w:bottom w:val="single" w:color="2E75B6" w:sz="6" w:space="1"/>
        </w:pBdr>
        <w:spacing w:after="100" w:before="280"/>
      </w:pPr>
      <w:r>
        <w:rPr>
          <w:rFonts w:ascii="Arial" w:cs="Arial" w:eastAsia="Arial" w:hAnsi="Arial"/>
          <w:b/>
          <w:bCs/>
          <w:color w:val="2E75B6"/>
          <w:sz w:val="26"/>
          <w:szCs w:val="26"/>
        </w:rPr>
        <w:t xml:space="preserve">Input 7 — WinBack Do Not Mail List</w:t>
      </w:r>
    </w:p>
    <w:p>
      <w:pPr>
        <w:spacing w:after="100" w:before="100"/>
      </w:pPr>
      <w:r>
        <w:t xml:space="preserve"/>
      </w:r>
    </w:p>
    <w:p>
      <w:pPr>
        <w:spacing w:after="60" w:before="60"/>
      </w:pPr>
      <w:r>
        <w:rPr>
          <w:rFonts w:ascii="Arial" w:cs="Arial" w:eastAsia="Arial" w:hAnsi="Arial"/>
          <w:color w:val="333333"/>
          <w:sz w:val="20"/>
          <w:szCs w:val="20"/>
        </w:rPr>
        <w:t xml:space="preserve">A campaign-specific flat file containing a list of individual IDs who must never receive a WinBack email under any circumstances. This list is maintained separately from the general suppression rules.</w:t>
      </w:r>
    </w:p>
    <w:p>
      <w:pPr>
        <w:spacing w:after="100" w:before="100"/>
      </w:pPr>
      <w:r>
        <w:t xml:space="preserve"/>
      </w:r>
    </w:p>
    <w:p>
      <w:pPr>
        <w:spacing w:after="80" w:before="180"/>
      </w:pPr>
      <w:r>
        <w:rPr>
          <w:rFonts w:ascii="Arial" w:cs="Arial" w:eastAsia="Arial" w:hAnsi="Arial"/>
          <w:b/>
          <w:bCs/>
          <w:color w:val="1F3864"/>
          <w:sz w:val="22"/>
          <w:szCs w:val="22"/>
        </w:rPr>
        <w:t xml:space="preserve">What it contains:</w:t>
      </w:r>
    </w:p>
    <w:p>
      <w:pPr>
        <w:pStyle w:val="ListParagraph"/>
        <w:numPr>
          <w:ilvl w:val="0"/>
          <w:numId w:val="2"/>
        </w:numPr>
        <w:spacing w:after="40" w:before="40"/>
      </w:pPr>
      <w:r>
        <w:rPr>
          <w:rFonts w:ascii="Arial" w:cs="Arial" w:eastAsia="Arial" w:hAnsi="Arial"/>
          <w:color w:val="333333"/>
          <w:sz w:val="20"/>
          <w:szCs w:val="20"/>
        </w:rPr>
        <w:t xml:space="preserve">Individual identifiers for people to exclude from the mailing</w:t>
      </w:r>
    </w:p>
    <w:p>
      <w:pPr>
        <w:spacing w:after="100" w:before="100"/>
      </w:pPr>
      <w:r>
        <w:t xml:space="preserve"/>
      </w:r>
    </w:p>
    <w:p>
      <w:pPr>
        <w:spacing w:after="80" w:before="180"/>
      </w:pPr>
      <w:r>
        <w:rPr>
          <w:rFonts w:ascii="Arial" w:cs="Arial" w:eastAsia="Arial" w:hAnsi="Arial"/>
          <w:b/>
          <w:bCs/>
          <w:color w:val="1F3864"/>
          <w:sz w:val="22"/>
          <w:szCs w:val="22"/>
        </w:rPr>
        <w:t xml:space="preserve">Why we need it:</w:t>
      </w:r>
    </w:p>
    <w:p>
      <w:pPr>
        <w:spacing w:after="60" w:before="60"/>
      </w:pPr>
      <w:r>
        <w:rPr>
          <w:rFonts w:ascii="Arial" w:cs="Arial" w:eastAsia="Arial" w:hAnsi="Arial"/>
          <w:color w:val="333333"/>
          <w:sz w:val="20"/>
          <w:szCs w:val="20"/>
        </w:rPr>
        <w:t xml:space="preserve">There are specific business and legal reasons why certain individuals must be excluded from the WinBack campaign. This list gives the campaign team a direct way to add people to the exclusion list without modifying any eligibility rules or code. It is a hard suppression — anyone on this list is removed regardless of their scores, age, or any other attribute.</w:t>
      </w:r>
    </w:p>
    <w:p>
      <w:pPr>
        <w:spacing w:after="100" w:before="100"/>
      </w:pPr>
      <w:r>
        <w:t xml:space="preserve"/>
      </w:r>
    </w:p>
    <w:p>
      <w:pPr>
        <w:pStyle w:val="Heading2"/>
        <w:pBdr>
          <w:bottom w:val="single" w:color="2E75B6" w:sz="6" w:space="1"/>
        </w:pBdr>
        <w:spacing w:after="100" w:before="280"/>
      </w:pPr>
      <w:r>
        <w:rPr>
          <w:rFonts w:ascii="Arial" w:cs="Arial" w:eastAsia="Arial" w:hAnsi="Arial"/>
          <w:b/>
          <w:bCs/>
          <w:color w:val="2E75B6"/>
          <w:sz w:val="26"/>
          <w:szCs w:val="26"/>
        </w:rPr>
        <w:t xml:space="preserve">Input 8 — Conversion File</w:t>
      </w:r>
    </w:p>
    <w:p>
      <w:pPr>
        <w:spacing w:after="100" w:before="100"/>
      </w:pPr>
      <w:r>
        <w:t xml:space="preserve"/>
      </w:r>
    </w:p>
    <w:p>
      <w:pPr>
        <w:spacing w:after="60" w:before="60"/>
      </w:pPr>
      <w:r>
        <w:rPr>
          <w:rFonts w:ascii="Arial" w:cs="Arial" w:eastAsia="Arial" w:hAnsi="Arial"/>
          <w:color w:val="333333"/>
          <w:sz w:val="20"/>
          <w:szCs w:val="20"/>
        </w:rPr>
        <w:t xml:space="preserve">A file generated each month that records the most recent AARP Auto quote date for every address in the eligible population.</w:t>
      </w:r>
    </w:p>
    <w:p>
      <w:pPr>
        <w:spacing w:after="100" w:before="100"/>
      </w:pPr>
      <w:r>
        <w:t xml:space="preserve"/>
      </w:r>
    </w:p>
    <w:p>
      <w:pPr>
        <w:spacing w:after="80" w:before="180"/>
      </w:pPr>
      <w:r>
        <w:rPr>
          <w:rFonts w:ascii="Arial" w:cs="Arial" w:eastAsia="Arial" w:hAnsi="Arial"/>
          <w:b/>
          <w:bCs/>
          <w:color w:val="1F3864"/>
          <w:sz w:val="22"/>
          <w:szCs w:val="22"/>
        </w:rPr>
        <w:t xml:space="preserve">What it contains:</w:t>
      </w:r>
    </w:p>
    <w:p>
      <w:pPr>
        <w:pStyle w:val="ListParagraph"/>
        <w:numPr>
          <w:ilvl w:val="0"/>
          <w:numId w:val="2"/>
        </w:numPr>
        <w:spacing w:after="40" w:before="40"/>
      </w:pPr>
      <w:r>
        <w:rPr>
          <w:rFonts w:ascii="Arial" w:cs="Arial" w:eastAsia="Arial" w:hAnsi="Arial"/>
          <w:color w:val="333333"/>
          <w:sz w:val="20"/>
          <w:szCs w:val="20"/>
        </w:rPr>
        <w:t xml:space="preserve">Address identifier</w:t>
      </w:r>
    </w:p>
    <w:p>
      <w:pPr>
        <w:pStyle w:val="ListParagraph"/>
        <w:numPr>
          <w:ilvl w:val="0"/>
          <w:numId w:val="2"/>
        </w:numPr>
        <w:spacing w:after="40" w:before="40"/>
      </w:pPr>
      <w:r>
        <w:rPr>
          <w:rFonts w:ascii="Arial" w:cs="Arial" w:eastAsia="Arial" w:hAnsi="Arial"/>
          <w:color w:val="333333"/>
          <w:sz w:val="20"/>
          <w:szCs w:val="20"/>
        </w:rPr>
        <w:t xml:space="preserve">Date of the most recent AARP Auto insurance quote at that address</w:t>
      </w:r>
    </w:p>
    <w:p>
      <w:pPr>
        <w:spacing w:after="100" w:before="100"/>
      </w:pPr>
      <w:r>
        <w:t xml:space="preserve"/>
      </w:r>
    </w:p>
    <w:p>
      <w:pPr>
        <w:spacing w:after="80" w:before="180"/>
      </w:pPr>
      <w:r>
        <w:rPr>
          <w:rFonts w:ascii="Arial" w:cs="Arial" w:eastAsia="Arial" w:hAnsi="Arial"/>
          <w:b/>
          <w:bCs/>
          <w:color w:val="1F3864"/>
          <w:sz w:val="22"/>
          <w:szCs w:val="22"/>
        </w:rPr>
        <w:t xml:space="preserve">Why we need it:</w:t>
      </w:r>
    </w:p>
    <w:p>
      <w:pPr>
        <w:spacing w:after="60" w:before="60"/>
      </w:pPr>
      <w:r>
        <w:rPr>
          <w:rFonts w:ascii="Arial" w:cs="Arial" w:eastAsia="Arial" w:hAnsi="Arial"/>
          <w:color w:val="333333"/>
          <w:sz w:val="20"/>
          <w:szCs w:val="20"/>
        </w:rPr>
        <w:t xml:space="preserve">If someone at an address has already requested a quote in the last three months they are actively considering their options and do not need a WinBack prompt. Emailing them at this stage would be redundant and could feel intrusive. This suppression protects the customer experience and avoids wasted marketing spend on people who are already in the conversion funnel.</w:t>
      </w:r>
    </w:p>
    <w:p>
      <w:pPr>
        <w:spacing w:after="100" w:before="100"/>
      </w:pPr>
      <w:r>
        <w:t xml:space="preserve"/>
      </w:r>
    </w:p>
    <w:p>
      <w:pPr>
        <w:pStyle w:val="Heading2"/>
        <w:pBdr>
          <w:bottom w:val="single" w:color="2E75B6" w:sz="6" w:space="1"/>
        </w:pBdr>
        <w:spacing w:after="100" w:before="280"/>
      </w:pPr>
      <w:r>
        <w:rPr>
          <w:rFonts w:ascii="Arial" w:cs="Arial" w:eastAsia="Arial" w:hAnsi="Arial"/>
          <w:b/>
          <w:bCs/>
          <w:color w:val="2E75B6"/>
          <w:sz w:val="26"/>
          <w:szCs w:val="26"/>
        </w:rPr>
        <w:t xml:space="preserve">Input 9 — Direct Mail File</w:t>
      </w:r>
    </w:p>
    <w:p>
      <w:pPr>
        <w:spacing w:after="100" w:before="100"/>
      </w:pPr>
      <w:r>
        <w:t xml:space="preserve"/>
      </w:r>
    </w:p>
    <w:p>
      <w:pPr>
        <w:spacing w:after="60" w:before="60"/>
      </w:pPr>
      <w:r>
        <w:rPr>
          <w:rFonts w:ascii="Arial" w:cs="Arial" w:eastAsia="Arial" w:hAnsi="Arial"/>
          <w:color w:val="333333"/>
          <w:sz w:val="20"/>
          <w:szCs w:val="20"/>
        </w:rPr>
        <w:t xml:space="preserve">A file containing the addresses of everyone who is receiving a direct mail piece for the WinBack campaign in the same monthly cycle.</w:t>
      </w:r>
    </w:p>
    <w:p>
      <w:pPr>
        <w:spacing w:after="100" w:before="100"/>
      </w:pPr>
      <w:r>
        <w:t xml:space="preserve"/>
      </w:r>
    </w:p>
    <w:p>
      <w:pPr>
        <w:spacing w:after="80" w:before="180"/>
      </w:pPr>
      <w:r>
        <w:rPr>
          <w:rFonts w:ascii="Arial" w:cs="Arial" w:eastAsia="Arial" w:hAnsi="Arial"/>
          <w:b/>
          <w:bCs/>
          <w:color w:val="1F3864"/>
          <w:sz w:val="22"/>
          <w:szCs w:val="22"/>
        </w:rPr>
        <w:t xml:space="preserve">What it contains:</w:t>
      </w:r>
    </w:p>
    <w:p>
      <w:pPr>
        <w:pStyle w:val="ListParagraph"/>
        <w:numPr>
          <w:ilvl w:val="0"/>
          <w:numId w:val="2"/>
        </w:numPr>
        <w:spacing w:after="40" w:before="40"/>
      </w:pPr>
      <w:r>
        <w:rPr>
          <w:rFonts w:ascii="Arial" w:cs="Arial" w:eastAsia="Arial" w:hAnsi="Arial"/>
          <w:color w:val="333333"/>
          <w:sz w:val="20"/>
          <w:szCs w:val="20"/>
        </w:rPr>
        <w:t xml:space="preserve">Address identifiers for all direct mail recipients in the current cycle</w:t>
      </w:r>
    </w:p>
    <w:p>
      <w:pPr>
        <w:spacing w:after="100" w:before="100"/>
      </w:pPr>
      <w:r>
        <w:t xml:space="preserve"/>
      </w:r>
    </w:p>
    <w:p>
      <w:pPr>
        <w:spacing w:after="80" w:before="180"/>
      </w:pPr>
      <w:r>
        <w:rPr>
          <w:rFonts w:ascii="Arial" w:cs="Arial" w:eastAsia="Arial" w:hAnsi="Arial"/>
          <w:b/>
          <w:bCs/>
          <w:color w:val="1F3864"/>
          <w:sz w:val="22"/>
          <w:szCs w:val="22"/>
        </w:rPr>
        <w:t xml:space="preserve">Why we need it:</w:t>
      </w:r>
    </w:p>
    <w:p>
      <w:pPr>
        <w:spacing w:after="60" w:before="60"/>
      </w:pPr>
      <w:r>
        <w:rPr>
          <w:rFonts w:ascii="Arial" w:cs="Arial" w:eastAsia="Arial" w:hAnsi="Arial"/>
          <w:color w:val="333333"/>
          <w:sz w:val="20"/>
          <w:szCs w:val="20"/>
        </w:rPr>
        <w:t xml:space="preserve">An EM_DM_Ind flag is added to every record in the final email output indicating whether that address is also receiving a direct mail piece. Y means both email and direct mail. N means email only. This flag is used by the client and campaign team for cross-channel reporting and to understand the overlap between the two channels in each cycle.</w:t>
      </w:r>
    </w:p>
    <w:p>
      <w:pPr>
        <w:spacing w:after="10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tcPr>
          <w:p>
            <w:pPr>
              <w:jc w:val="center"/>
            </w:pPr>
            <w:r>
              <w:rPr>
                <w:rFonts w:ascii="Arial" w:cs="Arial" w:eastAsia="Arial" w:hAnsi="Arial"/>
                <w:b/>
                <w:bCs/>
                <w:color w:val="FFFFFF"/>
                <w:sz w:val="32"/>
                <w:szCs w:val="32"/>
              </w:rPr>
              <w:t xml:space="preserve">3</w:t>
            </w:r>
          </w:p>
        </w:tc>
        <w:tc>
          <w:tcPr>
            <w:tcW w:type="dxa" w:w="856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r>
              <w:rPr>
                <w:rFonts w:ascii="Arial" w:cs="Arial" w:eastAsia="Arial" w:hAnsi="Arial"/>
                <w:b/>
                <w:bCs/>
                <w:color w:val="1F3864"/>
                <w:sz w:val="26"/>
                <w:szCs w:val="26"/>
              </w:rPr>
              <w:t xml:space="preserve">Data Sources Summary</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1800"/>
        <w:gridCol w:w="2800"/>
        <w:gridCol w:w="27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Input</w:t>
            </w:r>
          </w:p>
        </w:tc>
        <w:tc>
          <w:tcPr>
            <w:tcW w:type="dxa" w:w="16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Source Name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Type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What We Get</w:t>
            </w:r>
          </w:p>
        </w:tc>
        <w:tc>
          <w:tcPr>
            <w:tcW w:type="dxa" w:w="27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Purpose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Campaign Split File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Snowflake Table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Full eligible population with all individual attributes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Starting population for the campaign</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2</w:t>
            </w:r>
          </w:p>
        </w:tc>
        <w:tc>
          <w:tcPr>
            <w:tcW w:type="dxa" w:w="1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Campaign Parameter File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Excel File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Mail date and score cutoff thresholds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Monthly campaign settings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Age Configuration File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JSON File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Min age 50, Max age 82</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Age eligibility rule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4</w:t>
            </w:r>
          </w:p>
        </w:tc>
        <w:tc>
          <w:tcPr>
            <w:tcW w:type="dxa" w:w="1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Individual Propensity Scores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Snowflake Table — HIG_INDIVIDUAL_SUMMARY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PLM score, PRM score, WB score, cancel code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Score suppression and cancel code suppression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Residence Level Fallback Scores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Snowflake Table — MODEL_SCORES_STATIC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Address-level PLM and PRM scores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Fill missing individual scores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6</w:t>
            </w:r>
          </w:p>
        </w:tc>
        <w:tc>
          <w:tcPr>
            <w:tcW w:type="dxa" w:w="1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Home Insurance ZIP List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Snowflake Table — ZIP_SUPP</w:t>
            </w:r>
          </w:p>
        </w:tc>
        <w:tc>
          <w:tcPr>
            <w:tcW w:type="dxa" w:w="2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ZIP codes for home insurance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HOME_FLAG on output for reporting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WinBack Do Not Mail List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CSV File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Individual IDs to exclude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Hard campaign-specific suppression</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8</w:t>
            </w:r>
          </w:p>
        </w:tc>
        <w:tc>
          <w:tcPr>
            <w:tcW w:type="dxa" w:w="1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Conversion File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Pickle File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Last quote date per address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Suppress recent quote activity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Direct Mail File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CSV File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Addresses in direct mail this cycle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EM_DM_Ind flag on output for reporting</w:t>
            </w:r>
          </w:p>
        </w:tc>
      </w:tr>
    </w:tbl>
    <w:p>
      <w:pPr>
        <w:spacing w:after="10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tcPr>
          <w:p>
            <w:pPr>
              <w:jc w:val="center"/>
            </w:pPr>
            <w:r>
              <w:rPr>
                <w:rFonts w:ascii="Arial" w:cs="Arial" w:eastAsia="Arial" w:hAnsi="Arial"/>
                <w:b/>
                <w:bCs/>
                <w:color w:val="FFFFFF"/>
                <w:sz w:val="32"/>
                <w:szCs w:val="32"/>
              </w:rPr>
              <w:t xml:space="preserve">4</w:t>
            </w:r>
          </w:p>
        </w:tc>
        <w:tc>
          <w:tcPr>
            <w:tcW w:type="dxa" w:w="856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r>
              <w:rPr>
                <w:rFonts w:ascii="Arial" w:cs="Arial" w:eastAsia="Arial" w:hAnsi="Arial"/>
                <w:b/>
                <w:bCs/>
                <w:color w:val="1F3864"/>
                <w:sz w:val="26"/>
                <w:szCs w:val="26"/>
              </w:rPr>
              <w:t xml:space="preserve">Eligibility Conditions and Suppressions</w:t>
            </w:r>
          </w:p>
        </w:tc>
      </w:tr>
    </w:tbl>
    <w:p>
      <w:pPr>
        <w:spacing w:after="100" w:before="100"/>
      </w:pPr>
      <w:r>
        <w:t xml:space="preserve"/>
      </w:r>
    </w:p>
    <w:p>
      <w:pPr>
        <w:spacing w:after="60" w:before="60"/>
      </w:pPr>
      <w:r>
        <w:rPr>
          <w:rFonts w:ascii="Arial" w:cs="Arial" w:eastAsia="Arial" w:hAnsi="Arial"/>
          <w:color w:val="333333"/>
          <w:sz w:val="20"/>
          <w:szCs w:val="20"/>
        </w:rPr>
        <w:t xml:space="preserve">Once the full WinBack population has been identified, a series of conditions are applied to progressively remove individuals who should not receive the email. Each condition has a clear business rationale. The conditions are applied in sequence and each step reduces the population further.</w:t>
      </w:r>
    </w:p>
    <w:p>
      <w:pPr>
        <w:spacing w:after="100" w:before="100"/>
      </w:pPr>
      <w:r>
        <w:t xml:space="preserve"/>
      </w:r>
    </w:p>
    <w:p>
      <w:pPr>
        <w:pStyle w:val="Heading2"/>
        <w:pBdr>
          <w:bottom w:val="single" w:color="2E75B6" w:sz="6" w:space="1"/>
        </w:pBdr>
        <w:spacing w:after="100" w:before="280"/>
      </w:pPr>
      <w:r>
        <w:rPr>
          <w:rFonts w:ascii="Arial" w:cs="Arial" w:eastAsia="Arial" w:hAnsi="Arial"/>
          <w:b/>
          <w:bCs/>
          <w:color w:val="2E75B6"/>
          <w:sz w:val="26"/>
          <w:szCs w:val="26"/>
        </w:rPr>
        <w:t xml:space="preserve">Condition 1 — Campaign Assignment</w:t>
      </w:r>
    </w:p>
    <w:p>
      <w:pPr>
        <w:spacing w:after="60" w:before="60"/>
      </w:pPr>
      <w:r>
        <w:rPr>
          <w:rFonts w:ascii="Arial" w:cs="Arial" w:eastAsia="Arial" w:hAnsi="Arial"/>
          <w:color w:val="333333"/>
          <w:sz w:val="20"/>
          <w:szCs w:val="20"/>
        </w:rPr>
        <w:t xml:space="preserve">Only individuals assigned to the WinBack campaign are carried forward. The campaign split file assigns each person to exactly one campaign and this step isolates the WB population.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Item</w:t>
            </w:r>
          </w:p>
        </w:tc>
        <w:tc>
          <w:tcPr>
            <w:tcW w:type="dxa" w:w="69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What it does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Filters the full population to WinBack records only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Data source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Campaign Split File — CAMPAIGN_R2 column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Status</w:t>
            </w:r>
          </w:p>
        </w:tc>
        <w:tc>
          <w:tcPr>
            <w:tcW w:type="dxa" w:w="696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tcPr>
          <w:p>
            <w:r>
              <w:rPr>
                <w:rFonts w:ascii="Arial" w:cs="Arial" w:eastAsia="Arial" w:hAnsi="Arial"/>
                <w:b/>
                <w:bCs/>
                <w:color w:val="375623"/>
                <w:sz w:val="18"/>
                <w:szCs w:val="18"/>
              </w:rPr>
              <w:t xml:space="preserve">Active</w:t>
            </w:r>
          </w:p>
        </w:tc>
      </w:tr>
    </w:tbl>
    <w:p>
      <w:pPr>
        <w:spacing w:after="100" w:before="100"/>
      </w:pPr>
      <w:r>
        <w:t xml:space="preserve"/>
      </w:r>
    </w:p>
    <w:p>
      <w:pPr>
        <w:pStyle w:val="Heading2"/>
        <w:pBdr>
          <w:bottom w:val="single" w:color="2E75B6" w:sz="6" w:space="1"/>
        </w:pBdr>
        <w:spacing w:after="100" w:before="280"/>
      </w:pPr>
      <w:r>
        <w:rPr>
          <w:rFonts w:ascii="Arial" w:cs="Arial" w:eastAsia="Arial" w:hAnsi="Arial"/>
          <w:b/>
          <w:bCs/>
          <w:color w:val="2E75B6"/>
          <w:sz w:val="26"/>
          <w:szCs w:val="26"/>
        </w:rPr>
        <w:t xml:space="preserve">Condition 2 — State Suppression</w:t>
      </w:r>
    </w:p>
    <w:p>
      <w:pPr>
        <w:spacing w:after="60" w:before="60"/>
      </w:pPr>
      <w:r>
        <w:rPr>
          <w:rFonts w:ascii="Arial" w:cs="Arial" w:eastAsia="Arial" w:hAnsi="Arial"/>
          <w:color w:val="333333"/>
          <w:sz w:val="20"/>
          <w:szCs w:val="20"/>
        </w:rPr>
        <w:t xml:space="preserve">Previously the campaign filtered eligible individuals based on an approved state list from the parameter file. This condition has been removed following a business decision by the client. State-level eligibility is now controlled upstream before the eligible population file is generated.</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Item</w:t>
            </w:r>
          </w:p>
        </w:tc>
        <w:tc>
          <w:tcPr>
            <w:tcW w:type="dxa" w:w="69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What it did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Filtered to only states marked as approved for mailing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Data source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Campaign Parameter File — Marketing_Restrictions_WB sheet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Status</w:t>
            </w:r>
          </w:p>
        </w:tc>
        <w:tc>
          <w:tcPr>
            <w:tcW w:type="dxa" w:w="696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tcPr>
          <w:p>
            <w:r>
              <w:rPr>
                <w:rFonts w:ascii="Arial" w:cs="Arial" w:eastAsia="Arial" w:hAnsi="Arial"/>
                <w:b/>
                <w:bCs/>
                <w:color w:val="C55A11"/>
                <w:sz w:val="18"/>
                <w:szCs w:val="18"/>
              </w:rPr>
              <w:t xml:space="preserve">Removed per client instruction April 2026</w:t>
            </w:r>
          </w:p>
        </w:tc>
      </w:tr>
    </w:tbl>
    <w:p>
      <w:pPr>
        <w:spacing w:after="100" w:before="100"/>
      </w:pPr>
      <w:r>
        <w:t xml:space="preserve"/>
      </w:r>
    </w:p>
    <w:p>
      <w:pPr>
        <w:pStyle w:val="Heading2"/>
        <w:pBdr>
          <w:bottom w:val="single" w:color="2E75B6" w:sz="6" w:space="1"/>
        </w:pBdr>
        <w:spacing w:after="100" w:before="280"/>
      </w:pPr>
      <w:r>
        <w:rPr>
          <w:rFonts w:ascii="Arial" w:cs="Arial" w:eastAsia="Arial" w:hAnsi="Arial"/>
          <w:b/>
          <w:bCs/>
          <w:color w:val="2E75B6"/>
          <w:sz w:val="26"/>
          <w:szCs w:val="26"/>
        </w:rPr>
        <w:t xml:space="preserve">Condition 3 — Age Eligibility</w:t>
      </w:r>
    </w:p>
    <w:p>
      <w:pPr>
        <w:spacing w:after="60" w:before="60"/>
      </w:pPr>
      <w:r>
        <w:rPr>
          <w:rFonts w:ascii="Arial" w:cs="Arial" w:eastAsia="Arial" w:hAnsi="Arial"/>
          <w:color w:val="333333"/>
          <w:sz w:val="20"/>
          <w:szCs w:val="20"/>
        </w:rPr>
        <w:t xml:space="preserve">Individuals outside the AARP Auto age eligibility band are removed. The current band is 50 to 82 years of age. This applies consistently across all states. Previously age bands were set per state through the parameter Excel file. They have now been moved to a central JSON configuration file with a flat rule for all states.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Item</w:t>
            </w:r>
          </w:p>
        </w:tc>
        <w:tc>
          <w:tcPr>
            <w:tcW w:type="dxa" w:w="69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What it does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Removes anyone under 50 or over 82 years old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Data source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Campaign Split File for age, Age Config JSON for the band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Current rule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Minimum 50, Maximum 82 — same for all states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Previous rule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State-specific bands from Excel — varied by state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Status</w:t>
            </w:r>
          </w:p>
        </w:tc>
        <w:tc>
          <w:tcPr>
            <w:tcW w:type="dxa" w:w="696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tcPr>
          <w:p>
            <w:r>
              <w:rPr>
                <w:rFonts w:ascii="Arial" w:cs="Arial" w:eastAsia="Arial" w:hAnsi="Arial"/>
                <w:b/>
                <w:bCs/>
                <w:color w:val="375623"/>
                <w:sz w:val="18"/>
                <w:szCs w:val="18"/>
              </w:rPr>
              <w:t xml:space="preserve">Active — updated to JSON config April 2026</w:t>
            </w:r>
          </w:p>
        </w:tc>
      </w:tr>
    </w:tbl>
    <w:p>
      <w:pPr>
        <w:spacing w:after="100" w:before="100"/>
      </w:pPr>
      <w:r>
        <w:t xml:space="preserve"/>
      </w:r>
    </w:p>
    <w:p>
      <w:pPr>
        <w:pStyle w:val="Heading2"/>
        <w:pBdr>
          <w:bottom w:val="single" w:color="2E75B6" w:sz="6" w:space="1"/>
        </w:pBdr>
        <w:spacing w:after="100" w:before="280"/>
      </w:pPr>
      <w:r>
        <w:rPr>
          <w:rFonts w:ascii="Arial" w:cs="Arial" w:eastAsia="Arial" w:hAnsi="Arial"/>
          <w:b/>
          <w:bCs/>
          <w:color w:val="2E75B6"/>
          <w:sz w:val="26"/>
          <w:szCs w:val="26"/>
        </w:rPr>
        <w:t xml:space="preserve">Condition 4 — Non Target ZIP</w:t>
      </w:r>
    </w:p>
    <w:p>
      <w:pPr>
        <w:spacing w:after="60" w:before="60"/>
      </w:pPr>
      <w:r>
        <w:rPr>
          <w:rFonts w:ascii="Arial" w:cs="Arial" w:eastAsia="Arial" w:hAnsi="Arial"/>
          <w:color w:val="333333"/>
          <w:sz w:val="20"/>
          <w:szCs w:val="20"/>
        </w:rPr>
        <w:t xml:space="preserve">Certain ZIP codes have been identified as non-target areas for AARP Auto Insurance. Individuals in these ZIPs are removed from the mailing regardless of any other criteria.</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Item</w:t>
            </w:r>
          </w:p>
        </w:tc>
        <w:tc>
          <w:tcPr>
            <w:tcW w:type="dxa" w:w="69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What it does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Removes individuals in non-target ZIP codes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Data source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Campaign Split File — AUTO_NONTARGET_ZIP_FLG column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Status</w:t>
            </w:r>
          </w:p>
        </w:tc>
        <w:tc>
          <w:tcPr>
            <w:tcW w:type="dxa" w:w="696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tcPr>
          <w:p>
            <w:r>
              <w:rPr>
                <w:rFonts w:ascii="Arial" w:cs="Arial" w:eastAsia="Arial" w:hAnsi="Arial"/>
                <w:b/>
                <w:bCs/>
                <w:color w:val="375623"/>
                <w:sz w:val="18"/>
                <w:szCs w:val="18"/>
              </w:rPr>
              <w:t xml:space="preserve">Active</w:t>
            </w:r>
          </w:p>
        </w:tc>
      </w:tr>
    </w:tbl>
    <w:p>
      <w:pPr>
        <w:spacing w:after="100" w:before="100"/>
      </w:pPr>
      <w:r>
        <w:t xml:space="preserve"/>
      </w:r>
    </w:p>
    <w:p>
      <w:pPr>
        <w:pStyle w:val="Heading2"/>
        <w:pBdr>
          <w:bottom w:val="single" w:color="2E75B6" w:sz="6" w:space="1"/>
        </w:pBdr>
        <w:spacing w:after="100" w:before="280"/>
      </w:pPr>
      <w:r>
        <w:rPr>
          <w:rFonts w:ascii="Arial" w:cs="Arial" w:eastAsia="Arial" w:hAnsi="Arial"/>
          <w:b/>
          <w:bCs/>
          <w:color w:val="2E75B6"/>
          <w:sz w:val="26"/>
          <w:szCs w:val="26"/>
        </w:rPr>
        <w:t xml:space="preserve">Condition 5 — Auto Decline Lookback</w:t>
      </w:r>
    </w:p>
    <w:p>
      <w:pPr>
        <w:spacing w:after="60" w:before="60"/>
      </w:pPr>
      <w:r>
        <w:rPr>
          <w:rFonts w:ascii="Arial" w:cs="Arial" w:eastAsia="Arial" w:hAnsi="Arial"/>
          <w:color w:val="333333"/>
          <w:sz w:val="20"/>
          <w:szCs w:val="20"/>
        </w:rPr>
        <w:t xml:space="preserve">Anyone who was declined for AARP Auto Insurance within the last three years is suppressed. The three year window is calculated from the mail selection date. Individuals with no decline on record are kept. This protects the brand by not re-marketing to people who were recently deemed ineligible for the product.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Item</w:t>
            </w:r>
          </w:p>
        </w:tc>
        <w:tc>
          <w:tcPr>
            <w:tcW w:type="dxa" w:w="69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What it does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Removes individuals declined for AARP Auto in the last 3 years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Data source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Campaign Split File — LAST_AARP_AUTO_DECLINE_DATE column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Lookback window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3 years from mail selection date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Status</w:t>
            </w:r>
          </w:p>
        </w:tc>
        <w:tc>
          <w:tcPr>
            <w:tcW w:type="dxa" w:w="696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tcPr>
          <w:p>
            <w:r>
              <w:rPr>
                <w:rFonts w:ascii="Arial" w:cs="Arial" w:eastAsia="Arial" w:hAnsi="Arial"/>
                <w:b/>
                <w:bCs/>
                <w:color w:val="375623"/>
                <w:sz w:val="18"/>
                <w:szCs w:val="18"/>
              </w:rPr>
              <w:t xml:space="preserve">Active</w:t>
            </w:r>
          </w:p>
        </w:tc>
      </w:tr>
    </w:tbl>
    <w:p>
      <w:pPr>
        <w:spacing w:after="100" w:before="100"/>
      </w:pPr>
      <w:r>
        <w:t xml:space="preserve"/>
      </w:r>
    </w:p>
    <w:p>
      <w:pPr>
        <w:pStyle w:val="Heading2"/>
        <w:pBdr>
          <w:bottom w:val="single" w:color="2E75B6" w:sz="6" w:space="1"/>
        </w:pBdr>
        <w:spacing w:after="100" w:before="280"/>
      </w:pPr>
      <w:r>
        <w:rPr>
          <w:rFonts w:ascii="Arial" w:cs="Arial" w:eastAsia="Arial" w:hAnsi="Arial"/>
          <w:b/>
          <w:bCs/>
          <w:color w:val="2E75B6"/>
          <w:sz w:val="26"/>
          <w:szCs w:val="26"/>
        </w:rPr>
        <w:t xml:space="preserve">Condition 6 — Credit Suppression</w:t>
      </w:r>
    </w:p>
    <w:p>
      <w:pPr>
        <w:spacing w:after="60" w:before="60"/>
      </w:pPr>
      <w:r>
        <w:rPr>
          <w:rFonts w:ascii="Arial" w:cs="Arial" w:eastAsia="Arial" w:hAnsi="Arial"/>
          <w:color w:val="333333"/>
          <w:sz w:val="20"/>
          <w:szCs w:val="20"/>
        </w:rPr>
        <w:t xml:space="preserve">Previously the campaign applied credit score-based suppression using TransUnion Hartford credit scores and state-level minimum thresholds. This condition has been fully removed following a business decision by the client. Credit assessment is now handled at the underwriting and quote stage rather than the marketing selection stage.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Item</w:t>
            </w:r>
          </w:p>
        </w:tc>
        <w:tc>
          <w:tcPr>
            <w:tcW w:type="dxa" w:w="69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What it did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Filtered based on TransUnion credit score against state minimums and ZIP-level rules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Data sources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Campaign Split File for individual score, Parameter Excel for thresholds, ZipWiseCredit Excel for ZIP rules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Note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Was never actively filtering anyone — the data was loaded but no filter was applied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Status</w:t>
            </w:r>
          </w:p>
        </w:tc>
        <w:tc>
          <w:tcPr>
            <w:tcW w:type="dxa" w:w="696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tcPr>
          <w:p>
            <w:r>
              <w:rPr>
                <w:rFonts w:ascii="Arial" w:cs="Arial" w:eastAsia="Arial" w:hAnsi="Arial"/>
                <w:b/>
                <w:bCs/>
                <w:color w:val="C55A11"/>
                <w:sz w:val="18"/>
                <w:szCs w:val="18"/>
              </w:rPr>
              <w:t xml:space="preserve">Removed per client instruction April 2026</w:t>
            </w:r>
          </w:p>
        </w:tc>
      </w:tr>
    </w:tbl>
    <w:p>
      <w:pPr>
        <w:spacing w:after="100" w:before="100"/>
      </w:pPr>
      <w:r>
        <w:t xml:space="preserve"/>
      </w:r>
    </w:p>
    <w:p>
      <w:pPr>
        <w:pStyle w:val="Heading2"/>
        <w:pBdr>
          <w:bottom w:val="single" w:color="2E75B6" w:sz="6" w:space="1"/>
        </w:pBdr>
        <w:spacing w:after="100" w:before="280"/>
      </w:pPr>
      <w:r>
        <w:rPr>
          <w:rFonts w:ascii="Arial" w:cs="Arial" w:eastAsia="Arial" w:hAnsi="Arial"/>
          <w:b/>
          <w:bCs/>
          <w:color w:val="2E75B6"/>
          <w:sz w:val="26"/>
          <w:szCs w:val="26"/>
        </w:rPr>
        <w:t xml:space="preserve">Condition 7 — DMA Opt-Out</w:t>
      </w:r>
    </w:p>
    <w:p>
      <w:pPr>
        <w:spacing w:after="60" w:before="60"/>
      </w:pPr>
      <w:r>
        <w:rPr>
          <w:rFonts w:ascii="Arial" w:cs="Arial" w:eastAsia="Arial" w:hAnsi="Arial"/>
          <w:color w:val="333333"/>
          <w:sz w:val="20"/>
          <w:szCs w:val="20"/>
        </w:rPr>
        <w:t xml:space="preserve">Individuals who have registered a DMA opt-out — meaning they have formally requested not to receive direct marketing — are removed from the mailing. This is a compliance requirement.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Item</w:t>
            </w:r>
          </w:p>
        </w:tc>
        <w:tc>
          <w:tcPr>
            <w:tcW w:type="dxa" w:w="69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What it does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Removes individuals with a DMA opt-out flag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Data source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Campaign Split File — DMA_SOURCE column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Status</w:t>
            </w:r>
          </w:p>
        </w:tc>
        <w:tc>
          <w:tcPr>
            <w:tcW w:type="dxa" w:w="696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tcPr>
          <w:p>
            <w:r>
              <w:rPr>
                <w:rFonts w:ascii="Arial" w:cs="Arial" w:eastAsia="Arial" w:hAnsi="Arial"/>
                <w:b/>
                <w:bCs/>
                <w:color w:val="375623"/>
                <w:sz w:val="18"/>
                <w:szCs w:val="18"/>
              </w:rPr>
              <w:t xml:space="preserve">Active</w:t>
            </w:r>
          </w:p>
        </w:tc>
      </w:tr>
    </w:tbl>
    <w:p>
      <w:pPr>
        <w:spacing w:after="100" w:before="100"/>
      </w:pPr>
      <w:r>
        <w:t xml:space="preserve"/>
      </w:r>
    </w:p>
    <w:p>
      <w:pPr>
        <w:pStyle w:val="Heading2"/>
        <w:pBdr>
          <w:bottom w:val="single" w:color="2E75B6" w:sz="6" w:space="1"/>
        </w:pBdr>
        <w:spacing w:after="100" w:before="280"/>
      </w:pPr>
      <w:r>
        <w:rPr>
          <w:rFonts w:ascii="Arial" w:cs="Arial" w:eastAsia="Arial" w:hAnsi="Arial"/>
          <w:b/>
          <w:bCs/>
          <w:color w:val="2E75B6"/>
          <w:sz w:val="26"/>
          <w:szCs w:val="26"/>
        </w:rPr>
        <w:t xml:space="preserve">Condition 8 — Do Not Mail List</w:t>
      </w:r>
    </w:p>
    <w:p>
      <w:pPr>
        <w:spacing w:after="60" w:before="60"/>
      </w:pPr>
      <w:r>
        <w:rPr>
          <w:rFonts w:ascii="Arial" w:cs="Arial" w:eastAsia="Arial" w:hAnsi="Arial"/>
          <w:color w:val="333333"/>
          <w:sz w:val="20"/>
          <w:szCs w:val="20"/>
        </w:rPr>
        <w:t xml:space="preserve">A campaign-specific list of individual IDs who must be excluded from the WinBack mailing under any circumstances. This is a hard suppression that overrides all other eligibility criteria.</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Item</w:t>
            </w:r>
          </w:p>
        </w:tc>
        <w:tc>
          <w:tcPr>
            <w:tcW w:type="dxa" w:w="69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What it does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Removes specific named individuals from the mailing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Data source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WinBack Do Not Mail List CSV file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Status</w:t>
            </w:r>
          </w:p>
        </w:tc>
        <w:tc>
          <w:tcPr>
            <w:tcW w:type="dxa" w:w="696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tcPr>
          <w:p>
            <w:r>
              <w:rPr>
                <w:rFonts w:ascii="Arial" w:cs="Arial" w:eastAsia="Arial" w:hAnsi="Arial"/>
                <w:b/>
                <w:bCs/>
                <w:color w:val="375623"/>
                <w:sz w:val="18"/>
                <w:szCs w:val="18"/>
              </w:rPr>
              <w:t xml:space="preserve">Active</w:t>
            </w:r>
          </w:p>
        </w:tc>
      </w:tr>
    </w:tbl>
    <w:p>
      <w:pPr>
        <w:spacing w:after="100" w:before="100"/>
      </w:pPr>
      <w:r>
        <w:t xml:space="preserve"/>
      </w:r>
    </w:p>
    <w:p>
      <w:pPr>
        <w:pStyle w:val="Heading2"/>
        <w:pBdr>
          <w:bottom w:val="single" w:color="2E75B6" w:sz="6" w:space="1"/>
        </w:pBdr>
        <w:spacing w:after="100" w:before="280"/>
      </w:pPr>
      <w:r>
        <w:rPr>
          <w:rFonts w:ascii="Arial" w:cs="Arial" w:eastAsia="Arial" w:hAnsi="Arial"/>
          <w:b/>
          <w:bCs/>
          <w:color w:val="2E75B6"/>
          <w:sz w:val="26"/>
          <w:szCs w:val="26"/>
        </w:rPr>
        <w:t xml:space="preserve">Condition 9 — Residence Type Classification</w:t>
      </w:r>
    </w:p>
    <w:p>
      <w:pPr>
        <w:spacing w:after="60" w:before="60"/>
      </w:pPr>
      <w:r>
        <w:rPr>
          <w:rFonts w:ascii="Arial" w:cs="Arial" w:eastAsia="Arial" w:hAnsi="Arial"/>
          <w:color w:val="333333"/>
          <w:sz w:val="20"/>
          <w:szCs w:val="20"/>
        </w:rPr>
        <w:t xml:space="preserve">Each address in the population is classified as either a Member Residence or a Non-Member Residence based on whether any active or recently lapsed AARP members live there. Individuals who do not match the expected membership profile for their address type are removed. This ensures the mailing reaches people in the right household context.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Item</w:t>
            </w:r>
          </w:p>
        </w:tc>
        <w:tc>
          <w:tcPr>
            <w:tcW w:type="dxa" w:w="69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What it does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Classifies addresses and removes individuals whose membership status conflicts with their address classification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Data source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Campaign Split File — ACTIVEMEMFLAG, LAPSEDGMNTHFLAG columns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Status</w:t>
            </w:r>
          </w:p>
        </w:tc>
        <w:tc>
          <w:tcPr>
            <w:tcW w:type="dxa" w:w="696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tcPr>
          <w:p>
            <w:r>
              <w:rPr>
                <w:rFonts w:ascii="Arial" w:cs="Arial" w:eastAsia="Arial" w:hAnsi="Arial"/>
                <w:b/>
                <w:bCs/>
                <w:color w:val="375623"/>
                <w:sz w:val="18"/>
                <w:szCs w:val="18"/>
              </w:rPr>
              <w:t xml:space="preserve">Active</w:t>
            </w:r>
          </w:p>
        </w:tc>
      </w:tr>
    </w:tbl>
    <w:p>
      <w:pPr>
        <w:spacing w:after="100" w:before="100"/>
      </w:pPr>
      <w:r>
        <w:t xml:space="preserve"/>
      </w:r>
    </w:p>
    <w:p>
      <w:pPr>
        <w:pStyle w:val="Heading2"/>
        <w:pBdr>
          <w:bottom w:val="single" w:color="2E75B6" w:sz="6" w:space="1"/>
        </w:pBdr>
        <w:spacing w:after="100" w:before="280"/>
      </w:pPr>
      <w:r>
        <w:rPr>
          <w:rFonts w:ascii="Arial" w:cs="Arial" w:eastAsia="Arial" w:hAnsi="Arial"/>
          <w:b/>
          <w:bCs/>
          <w:color w:val="2E75B6"/>
          <w:sz w:val="26"/>
          <w:szCs w:val="26"/>
        </w:rPr>
        <w:t xml:space="preserve">Condition 10 — Propensity Score Suppression</w:t>
      </w:r>
    </w:p>
    <w:p>
      <w:pPr>
        <w:spacing w:after="60" w:before="60"/>
      </w:pPr>
      <w:r>
        <w:rPr>
          <w:rFonts w:ascii="Arial" w:cs="Arial" w:eastAsia="Arial" w:hAnsi="Arial"/>
          <w:color w:val="333333"/>
          <w:sz w:val="20"/>
          <w:szCs w:val="20"/>
        </w:rPr>
        <w:t xml:space="preserve">Individuals who score highly enough on both the PLM and PRM propensity models are suppressed from the WinBack email. These individuals are considered high-value prospects who are already being targeted through a higher-priority channel such as direct agent outreach. Including them in the email would create channel conflict and could disrupt a more personalised sales process already underway. For individuals who do not have a personal score, address-level scores are used as a substitute.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Item</w:t>
            </w:r>
          </w:p>
        </w:tc>
        <w:tc>
          <w:tcPr>
            <w:tcW w:type="dxa" w:w="69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What it does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Removes high-propensity individuals already targeted in another channel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Data source 1</w:t>
            </w:r>
          </w:p>
        </w:tc>
        <w:tc>
          <w:tcPr>
            <w:tcW w:type="dxa" w:w="69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Snowflake — HIG_INDIVIDUAL_SUMMARY for individual scores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Data source 2</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Snowflake — MODEL_SCORES_STATIC for address-level fallback scores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Cutoff thresholds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Set monthly in the Campaign Parameter File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Status</w:t>
            </w:r>
          </w:p>
        </w:tc>
        <w:tc>
          <w:tcPr>
            <w:tcW w:type="dxa" w:w="696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tcPr>
          <w:p>
            <w:r>
              <w:rPr>
                <w:rFonts w:ascii="Arial" w:cs="Arial" w:eastAsia="Arial" w:hAnsi="Arial"/>
                <w:b/>
                <w:bCs/>
                <w:color w:val="375623"/>
                <w:sz w:val="18"/>
                <w:szCs w:val="18"/>
              </w:rPr>
              <w:t xml:space="preserve">Active</w:t>
            </w:r>
          </w:p>
        </w:tc>
      </w:tr>
    </w:tbl>
    <w:p>
      <w:pPr>
        <w:spacing w:after="100" w:before="100"/>
      </w:pPr>
      <w:r>
        <w:t xml:space="preserve"/>
      </w:r>
    </w:p>
    <w:p>
      <w:pPr>
        <w:pStyle w:val="Heading2"/>
        <w:pBdr>
          <w:bottom w:val="single" w:color="2E75B6" w:sz="6" w:space="1"/>
        </w:pBdr>
        <w:spacing w:after="100" w:before="280"/>
      </w:pPr>
      <w:r>
        <w:rPr>
          <w:rFonts w:ascii="Arial" w:cs="Arial" w:eastAsia="Arial" w:hAnsi="Arial"/>
          <w:b/>
          <w:bCs/>
          <w:color w:val="2E75B6"/>
          <w:sz w:val="26"/>
          <w:szCs w:val="26"/>
        </w:rPr>
        <w:t xml:space="preserve">Condition 11 — Policy Cancel Code</w:t>
      </w:r>
    </w:p>
    <w:p>
      <w:pPr>
        <w:spacing w:after="60" w:before="60"/>
      </w:pPr>
      <w:r>
        <w:rPr>
          <w:rFonts w:ascii="Arial" w:cs="Arial" w:eastAsia="Arial" w:hAnsi="Arial"/>
          <w:color w:val="333333"/>
          <w:sz w:val="20"/>
          <w:szCs w:val="20"/>
        </w:rPr>
        <w:t xml:space="preserve">Individuals whose policy ended with certain cancel or non-renewal codes are removed from the mailing. The specific business meaning of each code is defined by Hartford. Individuals whose cancel code falls into a separate group are flagged as potential rewrite candidates and passed to the downstream team for appropriate handling.</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Item</w:t>
            </w:r>
          </w:p>
        </w:tc>
        <w:tc>
          <w:tcPr>
            <w:tcW w:type="dxa" w:w="69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What it does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Removes individuals with specific policy cancel or non-renewal codes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Codes removed from mailing</w:t>
            </w:r>
          </w:p>
        </w:tc>
        <w:tc>
          <w:tcPr>
            <w:tcW w:type="dxa" w:w="69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C, G, P, Q, R, U, 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Codes flagged as rewrite candidate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D, 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Note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Business definition of each code to be confirmed with Hartford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Data 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Snowflake — HIG_INDIVIDUAL_SUMMARY — AUTO_POLICY_CANCEL_NONRENEW_CD column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Status</w:t>
            </w:r>
          </w:p>
        </w:tc>
        <w:tc>
          <w:tcPr>
            <w:tcW w:type="dxa" w:w="696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tcPr>
          <w:p>
            <w:r>
              <w:rPr>
                <w:rFonts w:ascii="Arial" w:cs="Arial" w:eastAsia="Arial" w:hAnsi="Arial"/>
                <w:b/>
                <w:bCs/>
                <w:color w:val="375623"/>
                <w:sz w:val="18"/>
                <w:szCs w:val="18"/>
              </w:rPr>
              <w:t xml:space="preserve">Active</w:t>
            </w:r>
          </w:p>
        </w:tc>
      </w:tr>
    </w:tbl>
    <w:p>
      <w:pPr>
        <w:spacing w:after="100" w:before="100"/>
      </w:pPr>
      <w:r>
        <w:t xml:space="preserve"/>
      </w:r>
    </w:p>
    <w:p>
      <w:pPr>
        <w:pStyle w:val="Heading2"/>
        <w:pBdr>
          <w:bottom w:val="single" w:color="2E75B6" w:sz="6" w:space="1"/>
        </w:pBdr>
        <w:spacing w:after="100" w:before="280"/>
      </w:pPr>
      <w:r>
        <w:rPr>
          <w:rFonts w:ascii="Arial" w:cs="Arial" w:eastAsia="Arial" w:hAnsi="Arial"/>
          <w:b/>
          <w:bCs/>
          <w:color w:val="2E75B6"/>
          <w:sz w:val="26"/>
          <w:szCs w:val="26"/>
        </w:rPr>
        <w:t xml:space="preserve">Condition 12 — Recent Quote Activity</w:t>
      </w:r>
    </w:p>
    <w:p>
      <w:pPr>
        <w:spacing w:after="60" w:before="60"/>
      </w:pPr>
      <w:r>
        <w:rPr>
          <w:rFonts w:ascii="Arial" w:cs="Arial" w:eastAsia="Arial" w:hAnsi="Arial"/>
          <w:color w:val="333333"/>
          <w:sz w:val="20"/>
          <w:szCs w:val="20"/>
        </w:rPr>
        <w:t xml:space="preserve">Anyone at an address where a quote was requested in the last three months is suppressed. If someone is already actively exploring AARP Auto Insurance they do not need a re-engagement prompt. This avoids over-contacting people who are already in the sales funnel and protects the customer experience.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Item</w:t>
            </w:r>
          </w:p>
        </w:tc>
        <w:tc>
          <w:tcPr>
            <w:tcW w:type="dxa" w:w="69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What it does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Removes addresses where a quote was received in the last 3 months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Data source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Conversion File — AARP_AUTO_QUOTE_LAST_TRANS_DATE column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Lookback window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3 months from mail selection date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Status</w:t>
            </w:r>
          </w:p>
        </w:tc>
        <w:tc>
          <w:tcPr>
            <w:tcW w:type="dxa" w:w="696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tcPr>
          <w:p>
            <w:r>
              <w:rPr>
                <w:rFonts w:ascii="Arial" w:cs="Arial" w:eastAsia="Arial" w:hAnsi="Arial"/>
                <w:b/>
                <w:bCs/>
                <w:color w:val="375623"/>
                <w:sz w:val="18"/>
                <w:szCs w:val="18"/>
              </w:rPr>
              <w:t xml:space="preserve">Active</w:t>
            </w:r>
          </w:p>
        </w:tc>
      </w:tr>
    </w:tbl>
    <w:p>
      <w:pPr>
        <w:spacing w:after="10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tcPr>
          <w:p>
            <w:pPr>
              <w:jc w:val="center"/>
            </w:pPr>
            <w:r>
              <w:rPr>
                <w:rFonts w:ascii="Arial" w:cs="Arial" w:eastAsia="Arial" w:hAnsi="Arial"/>
                <w:b/>
                <w:bCs/>
                <w:color w:val="FFFFFF"/>
                <w:sz w:val="32"/>
                <w:szCs w:val="32"/>
              </w:rPr>
              <w:t xml:space="preserve">5</w:t>
            </w:r>
          </w:p>
        </w:tc>
        <w:tc>
          <w:tcPr>
            <w:tcW w:type="dxa" w:w="856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r>
              <w:rPr>
                <w:rFonts w:ascii="Arial" w:cs="Arial" w:eastAsia="Arial" w:hAnsi="Arial"/>
                <w:b/>
                <w:bCs/>
                <w:color w:val="1F3864"/>
                <w:sz w:val="26"/>
                <w:szCs w:val="26"/>
              </w:rPr>
              <w:t xml:space="preserve">End to End Process Flow</w:t>
            </w:r>
          </w:p>
        </w:tc>
      </w:tr>
    </w:tbl>
    <w:p>
      <w:pPr>
        <w:spacing w:after="100" w:before="100"/>
      </w:pPr>
      <w:r>
        <w:t xml:space="preserve"/>
      </w:r>
    </w:p>
    <w:p>
      <w:pPr>
        <w:spacing w:after="60" w:before="60"/>
      </w:pPr>
      <w:r>
        <w:rPr>
          <w:rFonts w:ascii="Arial" w:cs="Arial" w:eastAsia="Arial" w:hAnsi="Arial"/>
          <w:color w:val="333333"/>
          <w:sz w:val="20"/>
          <w:szCs w:val="20"/>
        </w:rPr>
        <w:t xml:space="preserve">The diagram below shows the order in which each condition is applied and how the population reduces at each step. The numbers shown are from the May 2026 production run. The April 2026 run produced a final universe of 3,679,402 — the May increase reflects monthly population growth.</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400"/>
        <w:gridCol w:w="31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Step</w:t>
            </w:r>
          </w:p>
        </w:tc>
        <w:tc>
          <w:tcPr>
            <w:tcW w:type="dxa" w:w="3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Process</w:t>
            </w:r>
          </w:p>
        </w:tc>
        <w:tc>
          <w:tcPr>
            <w:tcW w:type="dxa" w:w="24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Population After Step</w:t>
            </w:r>
          </w:p>
        </w:tc>
        <w:tc>
          <w:tcPr>
            <w:tcW w:type="dxa" w:w="31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Drop From Previous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Start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Full eligible universe across all campaigns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202,164,989</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1</w:t>
            </w:r>
          </w:p>
        </w:tc>
        <w:tc>
          <w:tcPr>
            <w:tcW w:type="dxa" w:w="3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Filter to WinBack campaign only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7,539,366</w:t>
            </w:r>
          </w:p>
        </w:tc>
        <w:tc>
          <w:tcPr>
            <w:tcW w:type="dxa" w:w="31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194,625,623</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State suppression</w:t>
            </w:r>
          </w:p>
        </w:tc>
        <w:tc>
          <w:tcPr>
            <w:tcW w:type="dxa" w:w="240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tcPr>
          <w:p>
            <w:r>
              <w:rPr>
                <w:rFonts w:ascii="Arial" w:cs="Arial" w:eastAsia="Arial" w:hAnsi="Arial"/>
                <w:b w:val="false"/>
                <w:bCs w:val="false"/>
                <w:color w:val="C55A11"/>
                <w:sz w:val="18"/>
                <w:szCs w:val="18"/>
              </w:rPr>
              <w:t xml:space="preserve">7,539,366</w:t>
            </w:r>
          </w:p>
        </w:tc>
        <w:tc>
          <w:tcPr>
            <w:tcW w:type="dxa" w:w="316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tcPr>
          <w:p>
            <w:r>
              <w:rPr>
                <w:rFonts w:ascii="Arial" w:cs="Arial" w:eastAsia="Arial" w:hAnsi="Arial"/>
                <w:b w:val="false"/>
                <w:bCs w:val="false"/>
                <w:color w:val="C55A11"/>
                <w:sz w:val="18"/>
                <w:szCs w:val="18"/>
              </w:rPr>
              <w:t xml:space="preserve">0 — Removed per client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3</w:t>
            </w:r>
          </w:p>
        </w:tc>
        <w:tc>
          <w:tcPr>
            <w:tcW w:type="dxa" w:w="3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Age eligibility 50 to 82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4,375,675</w:t>
            </w:r>
          </w:p>
        </w:tc>
        <w:tc>
          <w:tcPr>
            <w:tcW w:type="dxa" w:w="31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3,163,691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Non-target ZIP removal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4,306,848</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68,827</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5</w:t>
            </w:r>
          </w:p>
        </w:tc>
        <w:tc>
          <w:tcPr>
            <w:tcW w:type="dxa" w:w="3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Auto decline 3 year lookback</w:t>
            </w:r>
          </w:p>
        </w:tc>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4,268,768</w:t>
            </w:r>
          </w:p>
        </w:tc>
        <w:tc>
          <w:tcPr>
            <w:tcW w:type="dxa" w:w="31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38,080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5a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WinBack No Quote Entry Flag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4,268,768</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0 — condition commented out in code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6</w:t>
            </w:r>
          </w:p>
        </w:tc>
        <w:tc>
          <w:tcPr>
            <w:tcW w:type="dxa" w:w="3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Credit suppression</w:t>
            </w:r>
          </w:p>
        </w:tc>
        <w:tc>
          <w:tcPr>
            <w:tcW w:type="dxa" w:w="240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tcPr>
          <w:p>
            <w:r>
              <w:rPr>
                <w:rFonts w:ascii="Arial" w:cs="Arial" w:eastAsia="Arial" w:hAnsi="Arial"/>
                <w:b w:val="false"/>
                <w:bCs w:val="false"/>
                <w:color w:val="C55A11"/>
                <w:sz w:val="18"/>
                <w:szCs w:val="18"/>
              </w:rPr>
              <w:t xml:space="preserve">4,268,768</w:t>
            </w:r>
          </w:p>
        </w:tc>
        <w:tc>
          <w:tcPr>
            <w:tcW w:type="dxa" w:w="316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tcPr>
          <w:p>
            <w:r>
              <w:rPr>
                <w:rFonts w:ascii="Arial" w:cs="Arial" w:eastAsia="Arial" w:hAnsi="Arial"/>
                <w:b w:val="false"/>
                <w:bCs w:val="false"/>
                <w:color w:val="C55A11"/>
                <w:sz w:val="18"/>
                <w:szCs w:val="18"/>
              </w:rPr>
              <w:t xml:space="preserve">0 — Removed per client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DMA opt-out removal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4,228,915</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39,853</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8</w:t>
            </w:r>
          </w:p>
        </w:tc>
        <w:tc>
          <w:tcPr>
            <w:tcW w:type="dxa" w:w="3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Do not mail list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4,228,915</w:t>
            </w:r>
          </w:p>
        </w:tc>
        <w:tc>
          <w:tcPr>
            <w:tcW w:type="dxa" w:w="31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0 — no matches this cycle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Residence type classification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3,753,051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475,864</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10</w:t>
            </w:r>
          </w:p>
        </w:tc>
        <w:tc>
          <w:tcPr>
            <w:tcW w:type="dxa" w:w="3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Propensity score suppression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3,753,051</w:t>
            </w:r>
          </w:p>
        </w:tc>
        <w:tc>
          <w:tcPr>
            <w:tcW w:type="dxa" w:w="31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0 — no additional drop this cycle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11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Policy cancel code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3,753,051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0 — no additional drop this cycle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12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Recent quote activity 3 months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333333"/>
                <w:sz w:val="18"/>
                <w:szCs w:val="18"/>
              </w:rPr>
              <w:t xml:space="preserve">3,725,733</w:t>
            </w:r>
          </w:p>
        </w:tc>
        <w:tc>
          <w:tcPr>
            <w:tcW w:type="dxa" w:w="31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333333"/>
                <w:sz w:val="18"/>
                <w:szCs w:val="18"/>
              </w:rPr>
              <w:t xml:space="preserve">27,318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Final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WinBack email universe — May 2026</w:t>
            </w:r>
          </w:p>
        </w:tc>
        <w:tc>
          <w:tcPr>
            <w:tcW w:type="dxa" w:w="240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tcPr>
          <w:p>
            <w:r>
              <w:rPr>
                <w:rFonts w:ascii="Arial" w:cs="Arial" w:eastAsia="Arial" w:hAnsi="Arial"/>
                <w:b/>
                <w:bCs/>
                <w:color w:val="375623"/>
                <w:sz w:val="18"/>
                <w:szCs w:val="18"/>
              </w:rPr>
              <w:t xml:space="preserve">3,725,733</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Final mailing file</w:t>
            </w:r>
          </w:p>
        </w:tc>
      </w:tr>
    </w:tbl>
    <w:p>
      <w:pPr>
        <w:spacing w:after="10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tcPr>
          <w:p>
            <w:pPr>
              <w:jc w:val="center"/>
            </w:pPr>
            <w:r>
              <w:rPr>
                <w:rFonts w:ascii="Arial" w:cs="Arial" w:eastAsia="Arial" w:hAnsi="Arial"/>
                <w:b/>
                <w:bCs/>
                <w:color w:val="FFFFFF"/>
                <w:sz w:val="32"/>
                <w:szCs w:val="32"/>
              </w:rPr>
              <w:t xml:space="preserve">6</w:t>
            </w:r>
          </w:p>
        </w:tc>
        <w:tc>
          <w:tcPr>
            <w:tcW w:type="dxa" w:w="856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r>
              <w:rPr>
                <w:rFonts w:ascii="Arial" w:cs="Arial" w:eastAsia="Arial" w:hAnsi="Arial"/>
                <w:b/>
                <w:bCs/>
                <w:color w:val="1F3864"/>
                <w:sz w:val="26"/>
                <w:szCs w:val="26"/>
              </w:rPr>
              <w:t xml:space="preserve">Output File</w:t>
            </w:r>
          </w:p>
        </w:tc>
      </w:tr>
    </w:tbl>
    <w:p>
      <w:pPr>
        <w:spacing w:after="100" w:before="100"/>
      </w:pPr>
      <w:r>
        <w:t xml:space="preserve"/>
      </w:r>
    </w:p>
    <w:p>
      <w:pPr>
        <w:spacing w:after="60" w:before="60"/>
      </w:pPr>
      <w:r>
        <w:rPr>
          <w:rFonts w:ascii="Arial" w:cs="Arial" w:eastAsia="Arial" w:hAnsi="Arial"/>
          <w:color w:val="333333"/>
          <w:sz w:val="20"/>
          <w:szCs w:val="20"/>
        </w:rPr>
        <w:t xml:space="preserve">The final output of the WinBack selection process is an email-ready mailing file delivered to the fulfilment team. It contains one record per eligible individual along with all the attributes needed to personalise and deliver the email.</w:t>
      </w:r>
    </w:p>
    <w:p>
      <w:pPr>
        <w:spacing w:after="100" w:before="100"/>
      </w:pPr>
      <w:r>
        <w:t xml:space="preserve"/>
      </w:r>
    </w:p>
    <w:p>
      <w:pPr>
        <w:pStyle w:val="Heading2"/>
        <w:pBdr>
          <w:bottom w:val="single" w:color="2E75B6" w:sz="6" w:space="1"/>
        </w:pBdr>
        <w:spacing w:after="100" w:before="280"/>
      </w:pPr>
      <w:r>
        <w:rPr>
          <w:rFonts w:ascii="Arial" w:cs="Arial" w:eastAsia="Arial" w:hAnsi="Arial"/>
          <w:b/>
          <w:bCs/>
          <w:color w:val="2E75B6"/>
          <w:sz w:val="26"/>
          <w:szCs w:val="26"/>
        </w:rPr>
        <w:t xml:space="preserve">Output File Details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Attribute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File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email_WB_Eligible_{Month}{Year}.txt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Format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Pipe-delimited text file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Records in May 2026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3,725,733</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Delivery location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Monthly Selected Data folder on Merkle server</w:t>
            </w:r>
          </w:p>
        </w:tc>
      </w:tr>
    </w:tbl>
    <w:p>
      <w:pPr>
        <w:spacing w:after="100" w:before="100"/>
      </w:pPr>
      <w:r>
        <w:t xml:space="preserve"/>
      </w:r>
    </w:p>
    <w:p>
      <w:pPr>
        <w:pStyle w:val="Heading2"/>
        <w:pBdr>
          <w:bottom w:val="single" w:color="2E75B6" w:sz="6" w:space="1"/>
        </w:pBdr>
        <w:spacing w:after="100" w:before="280"/>
      </w:pPr>
      <w:r>
        <w:rPr>
          <w:rFonts w:ascii="Arial" w:cs="Arial" w:eastAsia="Arial" w:hAnsi="Arial"/>
          <w:b/>
          <w:bCs/>
          <w:color w:val="2E75B6"/>
          <w:sz w:val="26"/>
          <w:szCs w:val="26"/>
        </w:rPr>
        <w:t xml:space="preserve">Key Flags in Output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Flag</w:t>
            </w:r>
          </w:p>
        </w:tc>
        <w:tc>
          <w:tcPr>
            <w:tcW w:type="dxa" w:w="1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Values</w:t>
            </w:r>
          </w:p>
        </w:tc>
        <w:tc>
          <w:tcPr>
            <w:tcW w:type="dxa" w:w="63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What It Means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HOME_FLAG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Y or 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Y means address is not in a home insurance ZIP. N means it is. Used for reporting only.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EM_DM_Ind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Y or 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Y means address also receives direct mail this cycle. N means email only.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Plcy_Canc_Rewrite_Flag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1 or blank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1 means the individual's cancel code indicates a potential rewrite opportunity.</w:t>
            </w:r>
          </w:p>
        </w:tc>
      </w:tr>
    </w:tbl>
    <w:p>
      <w:pPr>
        <w:spacing w:after="10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tcPr>
          <w:p>
            <w:pPr>
              <w:jc w:val="center"/>
            </w:pPr>
            <w:r>
              <w:rPr>
                <w:rFonts w:ascii="Arial" w:cs="Arial" w:eastAsia="Arial" w:hAnsi="Arial"/>
                <w:b/>
                <w:bCs/>
                <w:color w:val="FFFFFF"/>
                <w:sz w:val="32"/>
                <w:szCs w:val="32"/>
              </w:rPr>
              <w:t xml:space="preserve">7</w:t>
            </w:r>
          </w:p>
        </w:tc>
        <w:tc>
          <w:tcPr>
            <w:tcW w:type="dxa" w:w="856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r>
              <w:rPr>
                <w:rFonts w:ascii="Arial" w:cs="Arial" w:eastAsia="Arial" w:hAnsi="Arial"/>
                <w:b/>
                <w:bCs/>
                <w:color w:val="1F3864"/>
                <w:sz w:val="26"/>
                <w:szCs w:val="26"/>
              </w:rPr>
              <w:t xml:space="preserve">Recent Changes — April 2026</w:t>
            </w:r>
          </w:p>
        </w:tc>
      </w:tr>
    </w:tbl>
    <w:p>
      <w:pPr>
        <w:spacing w:after="100" w:before="100"/>
      </w:pPr>
      <w:r>
        <w:t xml:space="preserve"/>
      </w:r>
    </w:p>
    <w:p>
      <w:pPr>
        <w:spacing w:after="60" w:before="60"/>
      </w:pPr>
      <w:r>
        <w:rPr>
          <w:rFonts w:ascii="Arial" w:cs="Arial" w:eastAsia="Arial" w:hAnsi="Arial"/>
          <w:color w:val="333333"/>
          <w:sz w:val="20"/>
          <w:szCs w:val="20"/>
        </w:rPr>
        <w:t xml:space="preserve">The following changes were made to the WinBack campaign process in April 2026 following instructions from the client. All changes have been implemented in the production notebook and verified through a full test run.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600"/>
        <w:gridCol w:w="29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Change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What Changed</w:t>
            </w:r>
          </w:p>
        </w:tc>
        <w:tc>
          <w:tcPr>
            <w:tcW w:type="dxa" w:w="26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Why</w:t>
            </w:r>
          </w:p>
        </w:tc>
        <w:tc>
          <w:tcPr>
            <w:tcW w:type="dxa" w:w="29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Impact on Universe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Credit suppression removed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All credit score loading and threshold checks removed from code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Client decision — credit assessment moved to underwriting stage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Zero — credit was never actively filtering anyone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State suppression removed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State filter removed from code — Excel still read for mail date only</w:t>
            </w:r>
          </w:p>
        </w:tc>
        <w:tc>
          <w:tcPr>
            <w:tcW w:type="dxa" w:w="2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Client decision — state eligibility controlled upstream</w:t>
            </w:r>
          </w:p>
        </w:tc>
        <w:tc>
          <w:tcPr>
            <w:tcW w:type="dxa" w:w="29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333333"/>
                <w:sz w:val="18"/>
                <w:szCs w:val="18"/>
              </w:rPr>
              <w:t xml:space="preserve">Zero — all states were already approved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Age moved to JSON config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Age bands moved from Excel per-state to JSON flat rule 50-82 all states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Client request — easier to maintain, no Excel dependency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Small increase — flat 82 cap more inclusive than previous state-specific caps</w:t>
            </w:r>
          </w:p>
        </w:tc>
      </w:tr>
    </w:tbl>
    <w:p>
      <w:pPr>
        <w:spacing w:after="100" w:before="100"/>
      </w:pPr>
      <w:r>
        <w:t xml:space="preserve"/>
      </w:r>
    </w:p>
    <w:p>
      <w:pPr>
        <w:spacing w:after="100" w:before="100"/>
      </w:pPr>
      <w:r>
        <w:t xml:space="preserve"/>
      </w:r>
    </w:p>
    <w:p>
      <w:pPr>
        <w:pBdr>
          <w:top w:val="single" w:color="AAAAAA" w:sz="4" w:space="1"/>
        </w:pBdr>
        <w:spacing w:before="300"/>
        <w:jc w:val="center"/>
      </w:pPr>
      <w:r>
        <w:rPr>
          <w:rFonts w:ascii="Arial" w:cs="Arial" w:eastAsia="Arial" w:hAnsi="Arial"/>
          <w:i/>
          <w:iCs/>
          <w:color w:val="888888"/>
          <w:sz w:val="16"/>
          <w:szCs w:val="16"/>
        </w:rPr>
        <w:t xml:space="preserve">Prepared by Mayank Kumar  |  EXL PI Direct Marketing  |  Hartford AARP Auto  |  May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pPr>
    <w:r>
      <w:rPr>
        <w:rFonts w:ascii="Arial" w:cs="Arial" w:eastAsia="Arial" w:hAnsi="Arial"/>
        <w:color w:val="888888"/>
        <w:sz w:val="16"/>
        <w:szCs w:val="16"/>
      </w:rPr>
      <w:t xml:space="preserve">Confidential — For Client and Internal Use Only   |   Hartford AARP Auto Insurance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b/>
        <w:bCs/>
        <w:color w:val="1F3864"/>
        <w:sz w:val="18"/>
        <w:szCs w:val="18"/>
      </w:rPr>
      <w:t xml:space="preserve">AARP Auto Insurance — WinBack Campaign Business Document</w:t>
    </w:r>
    <w:r>
      <w:rPr>
        <w:rFonts w:ascii="Arial" w:cs="Arial" w:eastAsia="Arial" w:hAnsi="Arial"/>
        <w:color w:val="888888"/>
        <w:sz w:val="18"/>
        <w:szCs w:val="18"/>
      </w:rPr>
      <w:t xml:space="preserve">   |   EXL PI Direct Marketing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2026-06-01T11:44:27.375Z</dcterms:created>
  <dcterms:modified xsi:type="dcterms:W3CDTF">2026-06-01T11:44:27.388Z</dcterms:modified>
</cp:coreProperties>
</file>

<file path=docProps/custom.xml><?xml version="1.0" encoding="utf-8"?>
<Properties xmlns="http://schemas.openxmlformats.org/officeDocument/2006/custom-properties" xmlns:vt="http://schemas.openxmlformats.org/officeDocument/2006/docPropsVTypes"/>
</file>