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rq-email-audience-selection-process"/>
    <w:p>
      <w:pPr>
        <w:pStyle w:val="Heading1"/>
      </w:pPr>
      <w:r>
        <w:t xml:space="preserve">ARQ Email Audience Selection Process</w:t>
      </w:r>
    </w:p>
    <w:bookmarkStart w:id="20" w:name="business-objective"/>
    <w:p>
      <w:pPr>
        <w:pStyle w:val="Heading2"/>
      </w:pPr>
      <w:r>
        <w:t xml:space="preserve">Business Objective</w:t>
      </w:r>
    </w:p>
    <w:p>
      <w:pPr>
        <w:pStyle w:val="FirstParagraph"/>
      </w:pPr>
      <w:r>
        <w:t xml:space="preserve">The ARQ Email campaign is designed to identify and target customers who meet specific marketing, membership, and predictive score criteria for ARQ outreach. The process applies a series of eligibility checks, qualification rules, and suppressions to ensure communications are delivered to the most relevant audience while adhering to business and marketing requirements.</w:t>
      </w:r>
    </w:p>
    <w:p>
      <w:r>
        <w:pict>
          <v:rect style="width:0;height:1.5pt" o:hralign="center" o:hrstd="t" o:hr="t"/>
        </w:pict>
      </w:r>
    </w:p>
    <w:bookmarkEnd w:id="20"/>
    <w:bookmarkStart w:id="22" w:name="input-source"/>
    <w:p>
      <w:pPr>
        <w:pStyle w:val="Heading2"/>
      </w:pPr>
      <w:r>
        <w:t xml:space="preserve">Input Source</w:t>
      </w:r>
    </w:p>
    <w:bookmarkStart w:id="21" w:name="campaign-split-population"/>
    <w:p>
      <w:pPr>
        <w:pStyle w:val="Heading3"/>
      </w:pPr>
      <w:r>
        <w:t xml:space="preserve">Campaign Split Population</w:t>
      </w:r>
    </w:p>
    <w:p>
      <w:pPr>
        <w:pStyle w:val="FirstParagraph"/>
      </w:pPr>
      <w:r>
        <w:t xml:space="preserve">The process begins with the ARQ campaign population generated through the campaign split process.</w:t>
      </w:r>
    </w:p>
    <w:p>
      <w:pPr>
        <w:pStyle w:val="BodyText"/>
      </w:pPr>
      <w:r>
        <w:t xml:space="preserve">Current State:</w:t>
      </w:r>
    </w:p>
    <w:p>
      <w:pPr>
        <w:pStyle w:val="Compact"/>
        <w:numPr>
          <w:ilvl w:val="0"/>
          <w:numId w:val="1001"/>
        </w:numPr>
      </w:pPr>
      <w:r>
        <w:t xml:space="preserve">Campaign Split data is sourced from Snowflake.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Provides the starting population for ARQ audience qualification.</w:t>
      </w:r>
    </w:p>
    <w:p>
      <w:pPr>
        <w:pStyle w:val="Compact"/>
        <w:numPr>
          <w:ilvl w:val="0"/>
          <w:numId w:val="1002"/>
        </w:numPr>
      </w:pPr>
      <w:r>
        <w:t xml:space="preserve">Identifies customers assigned to the ARQ campaign.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key-data-sources"/>
    <w:p>
      <w:pPr>
        <w:pStyle w:val="Heading2"/>
      </w:pPr>
      <w:r>
        <w:t xml:space="preserve">Key Data Sources</w:t>
      </w:r>
    </w:p>
    <w:bookmarkStart w:id="23" w:name="marketing-restrictions-file"/>
    <w:p>
      <w:pPr>
        <w:pStyle w:val="Heading3"/>
      </w:pPr>
      <w:r>
        <w:t xml:space="preserve">Marketing Restrictions File</w:t>
      </w:r>
    </w:p>
    <w:p>
      <w:pPr>
        <w:pStyle w:val="FirstParagraph"/>
      </w:pPr>
      <w:r>
        <w:t xml:space="preserve">Provides campaign-level business rules and qualification criteria.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3"/>
        </w:numPr>
      </w:pPr>
      <w:r>
        <w:t xml:space="preserve">Defines approved mailing states.</w:t>
      </w:r>
    </w:p>
    <w:p>
      <w:pPr>
        <w:pStyle w:val="Compact"/>
        <w:numPr>
          <w:ilvl w:val="0"/>
          <w:numId w:val="1003"/>
        </w:numPr>
      </w:pPr>
      <w:r>
        <w:t xml:space="preserve">Defines age eligibility requirements.</w:t>
      </w:r>
    </w:p>
    <w:p>
      <w:pPr>
        <w:pStyle w:val="Compact"/>
        <w:numPr>
          <w:ilvl w:val="0"/>
          <w:numId w:val="1003"/>
        </w:numPr>
      </w:pPr>
      <w:r>
        <w:t xml:space="preserve">Provides campaign-specific qualification parameters.</w:t>
      </w:r>
    </w:p>
    <w:p>
      <w:r>
        <w:pict>
          <v:rect style="width:0;height:1.5pt" o:hralign="center" o:hrstd="t" o:hr="t"/>
        </w:pict>
      </w:r>
    </w:p>
    <w:bookmarkEnd w:id="23"/>
    <w:bookmarkStart w:id="24" w:name="selection-score-configuration"/>
    <w:p>
      <w:pPr>
        <w:pStyle w:val="Heading3"/>
      </w:pPr>
      <w:r>
        <w:t xml:space="preserve">Selection Score Configuration</w:t>
      </w:r>
    </w:p>
    <w:p>
      <w:pPr>
        <w:pStyle w:val="FirstParagraph"/>
      </w:pPr>
      <w:r>
        <w:t xml:space="preserve">Contains campaign score thresholds and predictive model requirements.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4"/>
        </w:numPr>
      </w:pPr>
      <w:r>
        <w:t xml:space="preserve">Identifies customers most likely to respond to ARQ marketing efforts.</w:t>
      </w:r>
    </w:p>
    <w:p>
      <w:pPr>
        <w:pStyle w:val="Compact"/>
        <w:numPr>
          <w:ilvl w:val="0"/>
          <w:numId w:val="1004"/>
        </w:numPr>
      </w:pPr>
      <w:r>
        <w:t xml:space="preserve">Establishes minimum score requirements for campaign inclusion.</w:t>
      </w:r>
    </w:p>
    <w:p>
      <w:r>
        <w:pict>
          <v:rect style="width:0;height:1.5pt" o:hralign="center" o:hrstd="t" o:hr="t"/>
        </w:pict>
      </w:r>
    </w:p>
    <w:bookmarkEnd w:id="24"/>
    <w:bookmarkStart w:id="25" w:name="eligible-residence-population"/>
    <w:p>
      <w:pPr>
        <w:pStyle w:val="Heading3"/>
      </w:pPr>
      <w:r>
        <w:t xml:space="preserve">Eligible Residence Population</w:t>
      </w:r>
    </w:p>
    <w:p>
      <w:pPr>
        <w:pStyle w:val="FirstParagraph"/>
      </w:pPr>
      <w:r>
        <w:t xml:space="preserve">Contains customer demographic, residence, membership, and policy information used during eligibility evaluation.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5"/>
        </w:numPr>
      </w:pPr>
      <w:r>
        <w:t xml:space="preserve">Serves as the primary customer dataset used for audience qualification.</w:t>
      </w:r>
    </w:p>
    <w:p>
      <w:pPr>
        <w:pStyle w:val="FirstParagraph"/>
      </w:pPr>
      <w:r>
        <w:t xml:space="preserve">Key Attributes:</w:t>
      </w:r>
    </w:p>
    <w:p>
      <w:pPr>
        <w:pStyle w:val="Compact"/>
        <w:numPr>
          <w:ilvl w:val="0"/>
          <w:numId w:val="1006"/>
        </w:numPr>
      </w:pPr>
      <w:r>
        <w:t xml:space="preserve">Customer Identifier</w:t>
      </w:r>
    </w:p>
    <w:p>
      <w:pPr>
        <w:pStyle w:val="Compact"/>
        <w:numPr>
          <w:ilvl w:val="0"/>
          <w:numId w:val="1006"/>
        </w:numPr>
      </w:pPr>
      <w:r>
        <w:t xml:space="preserve">Household Identifier</w:t>
      </w:r>
    </w:p>
    <w:p>
      <w:pPr>
        <w:pStyle w:val="Compact"/>
        <w:numPr>
          <w:ilvl w:val="0"/>
          <w:numId w:val="1006"/>
        </w:numPr>
      </w:pPr>
      <w:r>
        <w:t xml:space="preserve">Address Identifier</w:t>
      </w:r>
    </w:p>
    <w:p>
      <w:pPr>
        <w:pStyle w:val="Compact"/>
        <w:numPr>
          <w:ilvl w:val="0"/>
          <w:numId w:val="1006"/>
        </w:numPr>
      </w:pPr>
      <w:r>
        <w:t xml:space="preserve">State</w:t>
      </w:r>
    </w:p>
    <w:p>
      <w:pPr>
        <w:pStyle w:val="Compact"/>
        <w:numPr>
          <w:ilvl w:val="0"/>
          <w:numId w:val="1006"/>
        </w:numPr>
      </w:pPr>
      <w:r>
        <w:t xml:space="preserve">ZIP Code</w:t>
      </w:r>
    </w:p>
    <w:p>
      <w:pPr>
        <w:pStyle w:val="Compact"/>
        <w:numPr>
          <w:ilvl w:val="0"/>
          <w:numId w:val="1006"/>
        </w:numPr>
      </w:pPr>
      <w:r>
        <w:t xml:space="preserve">Age</w:t>
      </w:r>
    </w:p>
    <w:p>
      <w:pPr>
        <w:pStyle w:val="Compact"/>
        <w:numPr>
          <w:ilvl w:val="0"/>
          <w:numId w:val="1006"/>
        </w:numPr>
      </w:pPr>
      <w:r>
        <w:t xml:space="preserve">Hartford Score</w:t>
      </w:r>
    </w:p>
    <w:p>
      <w:pPr>
        <w:pStyle w:val="Compact"/>
        <w:numPr>
          <w:ilvl w:val="0"/>
          <w:numId w:val="1006"/>
        </w:numPr>
      </w:pPr>
      <w:r>
        <w:t xml:space="preserve">Membership Indicators</w:t>
      </w:r>
    </w:p>
    <w:p>
      <w:pPr>
        <w:pStyle w:val="Compact"/>
        <w:numPr>
          <w:ilvl w:val="0"/>
          <w:numId w:val="1006"/>
        </w:numPr>
      </w:pPr>
      <w:r>
        <w:t xml:space="preserve">Residence Information</w:t>
      </w:r>
    </w:p>
    <w:p>
      <w:pPr>
        <w:pStyle w:val="Compact"/>
        <w:numPr>
          <w:ilvl w:val="0"/>
          <w:numId w:val="1006"/>
        </w:numPr>
      </w:pPr>
      <w:r>
        <w:t xml:space="preserve">Policy Attributes</w:t>
      </w:r>
    </w:p>
    <w:p>
      <w:r>
        <w:pict>
          <v:rect style="width:0;height:1.5pt" o:hralign="center" o:hrstd="t" o:hr="t"/>
        </w:pict>
      </w:r>
    </w:p>
    <w:bookmarkEnd w:id="25"/>
    <w:bookmarkStart w:id="26" w:name="individual-summary-data"/>
    <w:p>
      <w:pPr>
        <w:pStyle w:val="Heading3"/>
      </w:pPr>
      <w:r>
        <w:t xml:space="preserve">Individual Summary Data</w:t>
      </w:r>
    </w:p>
    <w:p>
      <w:pPr>
        <w:pStyle w:val="FirstParagraph"/>
      </w:pPr>
      <w:r>
        <w:t xml:space="preserve">Provides customer-level predictive marketing scores.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7"/>
        </w:numPr>
      </w:pPr>
      <w:r>
        <w:t xml:space="preserve">Supports customer prioritization using response propensity models.</w:t>
      </w:r>
    </w:p>
    <w:p>
      <w:pPr>
        <w:pStyle w:val="Compact"/>
        <w:numPr>
          <w:ilvl w:val="0"/>
          <w:numId w:val="1007"/>
        </w:numPr>
      </w:pPr>
      <w:r>
        <w:t xml:space="preserve">Enables application of campaign score thresholds.</w:t>
      </w:r>
    </w:p>
    <w:p>
      <w:r>
        <w:pict>
          <v:rect style="width:0;height:1.5pt" o:hralign="center" o:hrstd="t" o:hr="t"/>
        </w:pict>
      </w:r>
    </w:p>
    <w:bookmarkEnd w:id="26"/>
    <w:bookmarkStart w:id="27" w:name="conversion-dataset"/>
    <w:p>
      <w:pPr>
        <w:pStyle w:val="Heading3"/>
      </w:pPr>
      <w:r>
        <w:t xml:space="preserve">Conversion Dataset</w:t>
      </w:r>
    </w:p>
    <w:p>
      <w:pPr>
        <w:pStyle w:val="FirstParagraph"/>
      </w:pPr>
      <w:r>
        <w:t xml:space="preserve">Contains recent quote and conversion activity.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8"/>
        </w:numPr>
      </w:pPr>
      <w:r>
        <w:t xml:space="preserve">Prevents customers who recently converted from receiving ARQ marketing communications.</w:t>
      </w:r>
    </w:p>
    <w:p>
      <w:r>
        <w:pict>
          <v:rect style="width:0;height:1.5pt" o:hralign="center" o:hrstd="t" o:hr="t"/>
        </w:pict>
      </w:r>
    </w:p>
    <w:bookmarkEnd w:id="27"/>
    <w:bookmarkStart w:id="28" w:name="direct-mail-audience-file"/>
    <w:p>
      <w:pPr>
        <w:pStyle w:val="Heading3"/>
      </w:pPr>
      <w:r>
        <w:t xml:space="preserve">Direct Mail Audience File</w:t>
      </w:r>
    </w:p>
    <w:p>
      <w:pPr>
        <w:pStyle w:val="FirstParagraph"/>
      </w:pPr>
      <w:r>
        <w:t xml:space="preserve">Contains customers selected for ARQ Direct Mail campaigns.</w:t>
      </w:r>
    </w:p>
    <w:p>
      <w:pPr>
        <w:pStyle w:val="BodyText"/>
      </w:pPr>
      <w:r>
        <w:t xml:space="preserve">Business Purpose:</w:t>
      </w:r>
    </w:p>
    <w:p>
      <w:pPr>
        <w:pStyle w:val="Compact"/>
        <w:numPr>
          <w:ilvl w:val="0"/>
          <w:numId w:val="1009"/>
        </w:numPr>
      </w:pPr>
      <w:r>
        <w:t xml:space="preserve">Supports channel coordination and overlap reporting between Email and Direct Mail campaigns.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audience-qualification-rules"/>
    <w:p>
      <w:pPr>
        <w:pStyle w:val="Heading2"/>
      </w:pPr>
      <w:r>
        <w:t xml:space="preserve">Audience Qualification Rules</w:t>
      </w:r>
    </w:p>
    <w:p>
      <w:pPr>
        <w:pStyle w:val="FirstParagraph"/>
      </w:pPr>
      <w:r>
        <w:t xml:space="preserve">The audience population is refined through a series of qualification and suppression steps.</w:t>
      </w:r>
    </w:p>
    <w:bookmarkStart w:id="30" w:name="campaign-qualification"/>
    <w:p>
      <w:pPr>
        <w:pStyle w:val="Heading3"/>
      </w:pPr>
      <w:r>
        <w:t xml:space="preserve">Campaign Qualification</w:t>
      </w:r>
    </w:p>
    <w:p>
      <w:pPr>
        <w:pStyle w:val="FirstParagraph"/>
      </w:pPr>
      <w:r>
        <w:t xml:space="preserve">Only customers assigned to the ARQ campaign segment are retained for further processing.</w:t>
      </w:r>
    </w:p>
    <w:p>
      <w:r>
        <w:pict>
          <v:rect style="width:0;height:1.5pt" o:hralign="center" o:hrstd="t" o:hr="t"/>
        </w:pict>
      </w:r>
    </w:p>
    <w:bookmarkEnd w:id="30"/>
    <w:bookmarkStart w:id="31" w:name="state-qualification"/>
    <w:p>
      <w:pPr>
        <w:pStyle w:val="Heading3"/>
      </w:pPr>
      <w:r>
        <w:t xml:space="preserve">State Qualification</w:t>
      </w:r>
    </w:p>
    <w:p>
      <w:pPr>
        <w:pStyle w:val="FirstParagraph"/>
      </w:pPr>
      <w:r>
        <w:t xml:space="preserve">Customers must reside in states approved for ARQ marketing communications.</w:t>
      </w:r>
    </w:p>
    <w:p>
      <w:r>
        <w:pict>
          <v:rect style="width:0;height:1.5pt" o:hralign="center" o:hrstd="t" o:hr="t"/>
        </w:pict>
      </w:r>
    </w:p>
    <w:bookmarkEnd w:id="31"/>
    <w:bookmarkStart w:id="32" w:name="age-qualification"/>
    <w:p>
      <w:pPr>
        <w:pStyle w:val="Heading3"/>
      </w:pPr>
      <w:r>
        <w:t xml:space="preserve">Age Qualification</w:t>
      </w:r>
    </w:p>
    <w:p>
      <w:pPr>
        <w:pStyle w:val="FirstParagraph"/>
      </w:pPr>
      <w:r>
        <w:t xml:space="preserve">Customers must satisfy campaign age requirements based on business-defined minimum and maximum age criteria.</w:t>
      </w:r>
    </w:p>
    <w:p>
      <w:pPr>
        <w:pStyle w:val="BodyText"/>
      </w:pPr>
      <w:r>
        <w:t xml:space="preserve">State-specific age requirements may be applied where required by business rules.</w:t>
      </w:r>
    </w:p>
    <w:p>
      <w:r>
        <w:pict>
          <v:rect style="width:0;height:1.5pt" o:hralign="center" o:hrstd="t" o:hr="t"/>
        </w:pict>
      </w:r>
    </w:p>
    <w:bookmarkEnd w:id="32"/>
    <w:bookmarkStart w:id="33" w:name="non-target-zip-exclusion"/>
    <w:p>
      <w:pPr>
        <w:pStyle w:val="Heading3"/>
      </w:pPr>
      <w:r>
        <w:t xml:space="preserve">Non-Target ZIP Exclusion</w:t>
      </w:r>
    </w:p>
    <w:p>
      <w:pPr>
        <w:pStyle w:val="FirstParagraph"/>
      </w:pPr>
      <w:r>
        <w:t xml:space="preserve">Customers residing in excluded ZIP codes are removed from the audience.</w:t>
      </w:r>
    </w:p>
    <w:p>
      <w:r>
        <w:pict>
          <v:rect style="width:0;height:1.5pt" o:hralign="center" o:hrstd="t" o:hr="t"/>
        </w:pict>
      </w:r>
    </w:p>
    <w:bookmarkEnd w:id="33"/>
    <w:bookmarkStart w:id="34" w:name="recent-decline-exclusion"/>
    <w:p>
      <w:pPr>
        <w:pStyle w:val="Heading3"/>
      </w:pPr>
      <w:r>
        <w:t xml:space="preserve">Recent Decline Exclusion</w:t>
      </w:r>
    </w:p>
    <w:p>
      <w:pPr>
        <w:pStyle w:val="FirstParagraph"/>
      </w:pPr>
      <w:r>
        <w:t xml:space="preserve">Customers with recent auto-decline activity are removed to avoid premature marketing outreach.</w:t>
      </w:r>
    </w:p>
    <w:p>
      <w:r>
        <w:pict>
          <v:rect style="width:0;height:1.5pt" o:hralign="center" o:hrstd="t" o:hr="t"/>
        </w:pict>
      </w:r>
    </w:p>
    <w:bookmarkEnd w:id="34"/>
    <w:bookmarkStart w:id="35" w:name="residence-qualification"/>
    <w:p>
      <w:pPr>
        <w:pStyle w:val="Heading3"/>
      </w:pPr>
      <w:r>
        <w:t xml:space="preserve">Residence Qualification</w:t>
      </w:r>
    </w:p>
    <w:p>
      <w:pPr>
        <w:pStyle w:val="FirstParagraph"/>
      </w:pPr>
      <w:r>
        <w:t xml:space="preserve">Customers are evaluated and classified based on household membership composition.</w:t>
      </w:r>
    </w:p>
    <w:p>
      <w:pPr>
        <w:pStyle w:val="BodyText"/>
      </w:pPr>
      <w:r>
        <w:t xml:space="preserve">Residence types are categorized as:</w:t>
      </w:r>
    </w:p>
    <w:p>
      <w:pPr>
        <w:pStyle w:val="Compact"/>
        <w:numPr>
          <w:ilvl w:val="0"/>
          <w:numId w:val="1010"/>
        </w:numPr>
      </w:pPr>
      <w:r>
        <w:t xml:space="preserve">Member Residence</w:t>
      </w:r>
    </w:p>
    <w:p>
      <w:pPr>
        <w:pStyle w:val="Compact"/>
        <w:numPr>
          <w:ilvl w:val="0"/>
          <w:numId w:val="1010"/>
        </w:numPr>
      </w:pPr>
      <w:r>
        <w:t xml:space="preserve">Non-Member Residence</w:t>
      </w:r>
    </w:p>
    <w:p>
      <w:pPr>
        <w:pStyle w:val="FirstParagraph"/>
      </w:pPr>
      <w:r>
        <w:t xml:space="preserve">This classification supports campaign eligibility and targeting requirements.</w:t>
      </w:r>
    </w:p>
    <w:p>
      <w:r>
        <w:pict>
          <v:rect style="width:0;height:1.5pt" o:hralign="center" o:hrstd="t" o:hr="t"/>
        </w:pict>
      </w:r>
    </w:p>
    <w:bookmarkEnd w:id="35"/>
    <w:bookmarkStart w:id="36" w:name="membership-qualification"/>
    <w:p>
      <w:pPr>
        <w:pStyle w:val="Heading3"/>
      </w:pPr>
      <w:r>
        <w:t xml:space="preserve">Membership Qualification</w:t>
      </w:r>
    </w:p>
    <w:p>
      <w:pPr>
        <w:pStyle w:val="FirstParagraph"/>
      </w:pPr>
      <w:r>
        <w:t xml:space="preserve">Customers are evaluated using membership-related indicators, including active membership, lapsed membership, primary membership, and secondary membership status.</w:t>
      </w:r>
    </w:p>
    <w:p>
      <w:pPr>
        <w:pStyle w:val="BodyText"/>
      </w:pPr>
      <w:r>
        <w:t xml:space="preserve">Only customers meeting ARQ membership eligibility requirements are retained.</w:t>
      </w:r>
    </w:p>
    <w:p>
      <w:r>
        <w:pict>
          <v:rect style="width:0;height:1.5pt" o:hralign="center" o:hrstd="t" o:hr="t"/>
        </w:pict>
      </w:r>
    </w:p>
    <w:bookmarkEnd w:id="36"/>
    <w:bookmarkStart w:id="37" w:name="predictive-score-qualification"/>
    <w:p>
      <w:pPr>
        <w:pStyle w:val="Heading3"/>
      </w:pPr>
      <w:r>
        <w:t xml:space="preserve">Predictive Score Qualification</w:t>
      </w:r>
    </w:p>
    <w:p>
      <w:pPr>
        <w:pStyle w:val="FirstParagraph"/>
      </w:pPr>
      <w:r>
        <w:t xml:space="preserve">Customers are evaluated using predictive marketing scores that estimate their likelihood to respond to the campaign.</w:t>
      </w:r>
    </w:p>
    <w:p>
      <w:pPr>
        <w:pStyle w:val="BodyText"/>
      </w:pPr>
      <w:r>
        <w:t xml:space="preserve">The process applies:</w:t>
      </w:r>
    </w:p>
    <w:p>
      <w:pPr>
        <w:pStyle w:val="Compact"/>
        <w:numPr>
          <w:ilvl w:val="0"/>
          <w:numId w:val="1011"/>
        </w:numPr>
      </w:pPr>
      <w:r>
        <w:t xml:space="preserve">PLM Score Thresholds</w:t>
      </w:r>
    </w:p>
    <w:p>
      <w:pPr>
        <w:pStyle w:val="Compact"/>
        <w:numPr>
          <w:ilvl w:val="0"/>
          <w:numId w:val="1011"/>
        </w:numPr>
      </w:pPr>
      <w:r>
        <w:t xml:space="preserve">PRM Score Thresholds</w:t>
      </w:r>
    </w:p>
    <w:p>
      <w:pPr>
        <w:pStyle w:val="Compact"/>
        <w:numPr>
          <w:ilvl w:val="0"/>
          <w:numId w:val="1011"/>
        </w:numPr>
      </w:pPr>
      <w:r>
        <w:t xml:space="preserve">Campaign-Specific Score Requirements</w:t>
      </w:r>
    </w:p>
    <w:p>
      <w:pPr>
        <w:pStyle w:val="FirstParagraph"/>
      </w:pPr>
      <w:r>
        <w:t xml:space="preserve">Only customers meeting the required score thresholds are retained.</w:t>
      </w:r>
    </w:p>
    <w:p>
      <w:r>
        <w:pict>
          <v:rect style="width:0;height:1.5pt" o:hralign="center" o:hrstd="t" o:hr="t"/>
        </w:pict>
      </w:r>
    </w:p>
    <w:bookmarkEnd w:id="37"/>
    <w:bookmarkStart w:id="38" w:name="recent-conversion-exclusion"/>
    <w:p>
      <w:pPr>
        <w:pStyle w:val="Heading3"/>
      </w:pPr>
      <w:r>
        <w:t xml:space="preserve">Recent Conversion Exclusion</w:t>
      </w:r>
    </w:p>
    <w:p>
      <w:pPr>
        <w:pStyle w:val="FirstParagraph"/>
      </w:pPr>
      <w:r>
        <w:t xml:space="preserve">Customers with recent quote or conversion activity are excluded to prevent redundant marketing outreach.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erived-business-indicators"/>
    <w:p>
      <w:pPr>
        <w:pStyle w:val="Heading2"/>
      </w:pPr>
      <w:r>
        <w:t xml:space="preserve">Derived Business Indicators</w:t>
      </w:r>
    </w:p>
    <w:bookmarkStart w:id="40" w:name="residence-type"/>
    <w:p>
      <w:pPr>
        <w:pStyle w:val="Heading3"/>
      </w:pPr>
      <w:r>
        <w:t xml:space="preserve">Residence Type</w:t>
      </w:r>
    </w:p>
    <w:p>
      <w:pPr>
        <w:pStyle w:val="FirstParagraph"/>
      </w:pPr>
      <w:r>
        <w:t xml:space="preserve">Identifies the final residence classification assigned to a customer.</w:t>
      </w:r>
    </w:p>
    <w:p>
      <w:pPr>
        <w:pStyle w:val="BodyText"/>
      </w:pPr>
      <w:r>
        <w:t xml:space="preserve">Values:</w:t>
      </w:r>
    </w:p>
    <w:p>
      <w:pPr>
        <w:pStyle w:val="Compact"/>
        <w:numPr>
          <w:ilvl w:val="0"/>
          <w:numId w:val="1012"/>
        </w:numPr>
      </w:pPr>
      <w:r>
        <w:t xml:space="preserve">Member Residence</w:t>
      </w:r>
    </w:p>
    <w:p>
      <w:pPr>
        <w:pStyle w:val="Compact"/>
        <w:numPr>
          <w:ilvl w:val="0"/>
          <w:numId w:val="1012"/>
        </w:numPr>
      </w:pPr>
      <w:r>
        <w:t xml:space="preserve">Non-Member Residence</w:t>
      </w:r>
    </w:p>
    <w:p>
      <w:pPr>
        <w:pStyle w:val="FirstParagraph"/>
      </w:pPr>
      <w:r>
        <w:t xml:space="preserve">Business Use:</w:t>
      </w:r>
    </w:p>
    <w:p>
      <w:pPr>
        <w:pStyle w:val="Compact"/>
        <w:numPr>
          <w:ilvl w:val="0"/>
          <w:numId w:val="1013"/>
        </w:numPr>
      </w:pPr>
      <w:r>
        <w:t xml:space="preserve">Audience segmentation</w:t>
      </w:r>
    </w:p>
    <w:p>
      <w:pPr>
        <w:pStyle w:val="Compact"/>
        <w:numPr>
          <w:ilvl w:val="0"/>
          <w:numId w:val="1013"/>
        </w:numPr>
      </w:pPr>
      <w:r>
        <w:t xml:space="preserve">Reporting</w:t>
      </w:r>
    </w:p>
    <w:p>
      <w:pPr>
        <w:pStyle w:val="Compact"/>
        <w:numPr>
          <w:ilvl w:val="0"/>
          <w:numId w:val="1013"/>
        </w:numPr>
      </w:pPr>
      <w:r>
        <w:t xml:space="preserve">Campaign strategy</w:t>
      </w:r>
    </w:p>
    <w:p>
      <w:r>
        <w:pict>
          <v:rect style="width:0;height:1.5pt" o:hralign="center" o:hrstd="t" o:hr="t"/>
        </w:pict>
      </w:r>
    </w:p>
    <w:bookmarkEnd w:id="40"/>
    <w:bookmarkStart w:id="41" w:name="email-direct-mail-indicator"/>
    <w:p>
      <w:pPr>
        <w:pStyle w:val="Heading3"/>
      </w:pPr>
      <w:r>
        <w:t xml:space="preserve">Email / Direct Mail Indicator</w:t>
      </w:r>
    </w:p>
    <w:p>
      <w:pPr>
        <w:pStyle w:val="FirstParagraph"/>
      </w:pPr>
      <w:r>
        <w:t xml:space="preserve">Identifies customers appearing in both Email and Direct Mail audiences.</w:t>
      </w:r>
    </w:p>
    <w:p>
      <w:pPr>
        <w:pStyle w:val="BodyText"/>
      </w:pPr>
      <w:r>
        <w:t xml:space="preserve">Business Use:</w:t>
      </w:r>
    </w:p>
    <w:p>
      <w:pPr>
        <w:pStyle w:val="Compact"/>
        <w:numPr>
          <w:ilvl w:val="0"/>
          <w:numId w:val="1014"/>
        </w:numPr>
      </w:pPr>
      <w:r>
        <w:t xml:space="preserve">Channel coordination</w:t>
      </w:r>
    </w:p>
    <w:p>
      <w:pPr>
        <w:pStyle w:val="Compact"/>
        <w:numPr>
          <w:ilvl w:val="0"/>
          <w:numId w:val="1014"/>
        </w:numPr>
      </w:pPr>
      <w:r>
        <w:t xml:space="preserve">Audience overlap analysis</w:t>
      </w:r>
    </w:p>
    <w:p>
      <w:pPr>
        <w:pStyle w:val="Compact"/>
        <w:numPr>
          <w:ilvl w:val="0"/>
          <w:numId w:val="1014"/>
        </w:numPr>
      </w:pPr>
      <w:r>
        <w:t xml:space="preserve">Marketing reporting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inal-output"/>
    <w:p>
      <w:pPr>
        <w:pStyle w:val="Heading2"/>
      </w:pPr>
      <w:r>
        <w:t xml:space="preserve">Final Output</w:t>
      </w:r>
    </w:p>
    <w:bookmarkStart w:id="43" w:name="final-arq-email-eligible-audience-file"/>
    <w:p>
      <w:pPr>
        <w:pStyle w:val="Heading3"/>
      </w:pPr>
      <w:r>
        <w:t xml:space="preserve">Final ARQ Email Eligible Audience File</w:t>
      </w:r>
    </w:p>
    <w:p>
      <w:pPr>
        <w:pStyle w:val="FirstParagraph"/>
      </w:pPr>
      <w:r>
        <w:t xml:space="preserve">The process generates a final audience file containing customers who satisfy all eligibility requirements and suppression criteria.</w:t>
      </w:r>
    </w:p>
    <w:p>
      <w:pPr>
        <w:pStyle w:val="BodyText"/>
      </w:pPr>
      <w:r>
        <w:t xml:space="preserve">The output is used by downstream marketing execution processes for ARQ Email campaigns.</w:t>
      </w:r>
    </w:p>
    <w:bookmarkEnd w:id="43"/>
    <w:bookmarkStart w:id="44" w:name="key-output-attributes"/>
    <w:p>
      <w:pPr>
        <w:pStyle w:val="Heading3"/>
      </w:pPr>
      <w:r>
        <w:t xml:space="preserve">Key Output Attributes</w:t>
      </w:r>
    </w:p>
    <w:p>
      <w:pPr>
        <w:pStyle w:val="Compact"/>
        <w:numPr>
          <w:ilvl w:val="0"/>
          <w:numId w:val="1015"/>
        </w:numPr>
      </w:pPr>
      <w:r>
        <w:t xml:space="preserve">Customer Identifier</w:t>
      </w:r>
    </w:p>
    <w:p>
      <w:pPr>
        <w:pStyle w:val="Compact"/>
        <w:numPr>
          <w:ilvl w:val="0"/>
          <w:numId w:val="1015"/>
        </w:numPr>
      </w:pPr>
      <w:r>
        <w:t xml:space="preserve">Household Identifier</w:t>
      </w:r>
    </w:p>
    <w:p>
      <w:pPr>
        <w:pStyle w:val="Compact"/>
        <w:numPr>
          <w:ilvl w:val="0"/>
          <w:numId w:val="1015"/>
        </w:numPr>
      </w:pPr>
      <w:r>
        <w:t xml:space="preserve">Address Identifier</w:t>
      </w:r>
    </w:p>
    <w:p>
      <w:pPr>
        <w:pStyle w:val="Compact"/>
        <w:numPr>
          <w:ilvl w:val="0"/>
          <w:numId w:val="1015"/>
        </w:numPr>
      </w:pPr>
      <w:r>
        <w:t xml:space="preserve">State</w:t>
      </w:r>
    </w:p>
    <w:p>
      <w:pPr>
        <w:pStyle w:val="Compact"/>
        <w:numPr>
          <w:ilvl w:val="0"/>
          <w:numId w:val="1015"/>
        </w:numPr>
      </w:pPr>
      <w:r>
        <w:t xml:space="preserve">ZIP Code</w:t>
      </w:r>
    </w:p>
    <w:p>
      <w:pPr>
        <w:pStyle w:val="Compact"/>
        <w:numPr>
          <w:ilvl w:val="0"/>
          <w:numId w:val="1015"/>
        </w:numPr>
      </w:pPr>
      <w:r>
        <w:t xml:space="preserve">Age</w:t>
      </w:r>
    </w:p>
    <w:p>
      <w:pPr>
        <w:pStyle w:val="Compact"/>
        <w:numPr>
          <w:ilvl w:val="0"/>
          <w:numId w:val="1015"/>
        </w:numPr>
      </w:pPr>
      <w:r>
        <w:t xml:space="preserve">Residence Type</w:t>
      </w:r>
    </w:p>
    <w:p>
      <w:pPr>
        <w:pStyle w:val="Compact"/>
        <w:numPr>
          <w:ilvl w:val="0"/>
          <w:numId w:val="1015"/>
        </w:numPr>
      </w:pPr>
      <w:r>
        <w:t xml:space="preserve">Membership Indicators</w:t>
      </w:r>
    </w:p>
    <w:p>
      <w:pPr>
        <w:pStyle w:val="Compact"/>
        <w:numPr>
          <w:ilvl w:val="0"/>
          <w:numId w:val="1015"/>
        </w:numPr>
      </w:pPr>
      <w:r>
        <w:t xml:space="preserve">Predictive Scores</w:t>
      </w:r>
    </w:p>
    <w:p>
      <w:pPr>
        <w:pStyle w:val="Compact"/>
        <w:numPr>
          <w:ilvl w:val="0"/>
          <w:numId w:val="1015"/>
        </w:numPr>
      </w:pPr>
      <w:r>
        <w:t xml:space="preserve">Email/Direct Mail Indicator</w:t>
      </w:r>
    </w:p>
    <w:p>
      <w:pPr>
        <w:pStyle w:val="Compact"/>
        <w:numPr>
          <w:ilvl w:val="0"/>
          <w:numId w:val="1015"/>
        </w:numPr>
      </w:pPr>
      <w:r>
        <w:t xml:space="preserve">Campaign Eligibility Attributes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usiness-value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The ARQ audience selection process ensures that marketing communications are delivered only to customers who:</w:t>
      </w:r>
    </w:p>
    <w:p>
      <w:pPr>
        <w:pStyle w:val="Compact"/>
        <w:numPr>
          <w:ilvl w:val="0"/>
          <w:numId w:val="1016"/>
        </w:numPr>
      </w:pPr>
      <w:r>
        <w:t xml:space="preserve">Meet campaign eligibility requirements.</w:t>
      </w:r>
    </w:p>
    <w:p>
      <w:pPr>
        <w:pStyle w:val="Compact"/>
        <w:numPr>
          <w:ilvl w:val="0"/>
          <w:numId w:val="1016"/>
        </w:numPr>
      </w:pPr>
      <w:r>
        <w:t xml:space="preserve">Satisfy business-defined score thresholds.</w:t>
      </w:r>
    </w:p>
    <w:p>
      <w:pPr>
        <w:pStyle w:val="Compact"/>
        <w:numPr>
          <w:ilvl w:val="0"/>
          <w:numId w:val="1016"/>
        </w:numPr>
      </w:pPr>
      <w:r>
        <w:t xml:space="preserve">Meet membership qualification criteria.</w:t>
      </w:r>
    </w:p>
    <w:p>
      <w:pPr>
        <w:pStyle w:val="Compact"/>
        <w:numPr>
          <w:ilvl w:val="0"/>
          <w:numId w:val="1016"/>
        </w:numPr>
      </w:pPr>
      <w:r>
        <w:t xml:space="preserve">Are not present in suppression populations.</w:t>
      </w:r>
    </w:p>
    <w:p>
      <w:pPr>
        <w:pStyle w:val="Compact"/>
        <w:numPr>
          <w:ilvl w:val="0"/>
          <w:numId w:val="1016"/>
        </w:numPr>
      </w:pPr>
      <w:r>
        <w:t xml:space="preserve">Have not recently converted.</w:t>
      </w:r>
    </w:p>
    <w:p>
      <w:pPr>
        <w:pStyle w:val="Compact"/>
        <w:numPr>
          <w:ilvl w:val="0"/>
          <w:numId w:val="1016"/>
        </w:numPr>
      </w:pPr>
      <w:r>
        <w:t xml:space="preserve">Comply with state and marketing restrictions.</w:t>
      </w:r>
    </w:p>
    <w:p>
      <w:pPr>
        <w:pStyle w:val="FirstParagraph"/>
      </w:pPr>
      <w:r>
        <w:t xml:space="preserve">This helps improve campaign effectiveness, reduce unnecessary outreach, and maintain compliance with marketing policies.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2026-06-02T07:32:12Z</dcterms:created>
  <dcterms:modified xsi:type="dcterms:W3CDTF">2026-06-02T07:32:12Z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