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winback-email-audience-selection-process"/>
    <w:p>
      <w:pPr>
        <w:pStyle w:val="Heading1"/>
      </w:pPr>
      <w:r>
        <w:t xml:space="preserve">Winback Email Audience Selection Process</w:t>
      </w:r>
    </w:p>
    <w:bookmarkStart w:id="20" w:name="business-objective"/>
    <w:p>
      <w:pPr>
        <w:pStyle w:val="Heading2"/>
      </w:pPr>
      <w:r>
        <w:t xml:space="preserve">Business Objective</w:t>
      </w:r>
    </w:p>
    <w:p>
      <w:pPr>
        <w:pStyle w:val="FirstParagraph"/>
      </w:pPr>
      <w:r>
        <w:t xml:space="preserve">The Winback Email campaign is designed to re-engage customers who have lapsed, cancelled, or become inactive and may be receptive to returning to Hartford products. The process identifies qualified customers through a series of eligibility checks, business rules, and marketing suppressions to ensure that communications are relevant, compliant, and targeted toward the most appropriate audience.</w:t>
      </w:r>
    </w:p>
    <w:p>
      <w:r>
        <w:pict>
          <v:rect style="width:0;height:1.5pt" o:hralign="center" o:hrstd="t" o:hr="t"/>
        </w:pict>
      </w:r>
    </w:p>
    <w:bookmarkEnd w:id="20"/>
    <w:bookmarkStart w:id="22" w:name="input-source"/>
    <w:p>
      <w:pPr>
        <w:pStyle w:val="Heading2"/>
      </w:pPr>
      <w:r>
        <w:t xml:space="preserve">Input Source</w:t>
      </w:r>
    </w:p>
    <w:bookmarkStart w:id="21" w:name="campaign-split-population"/>
    <w:p>
      <w:pPr>
        <w:pStyle w:val="Heading3"/>
      </w:pPr>
      <w:r>
        <w:t xml:space="preserve">Campaign Split Population</w:t>
      </w:r>
    </w:p>
    <w:p>
      <w:pPr>
        <w:pStyle w:val="FirstParagraph"/>
      </w:pPr>
      <w:r>
        <w:t xml:space="preserve">The process begins with the Winback campaign population generated through the campaign split process. This population serves as the base audience from which the final email-eligible audience is selected.</w:t>
      </w:r>
    </w:p>
    <w:p>
      <w:pPr>
        <w:pStyle w:val="BodyText"/>
      </w:pPr>
      <w:r>
        <w:t xml:space="preserve">Current State:</w:t>
      </w:r>
    </w:p>
    <w:p>
      <w:pPr>
        <w:pStyle w:val="Compact"/>
        <w:numPr>
          <w:ilvl w:val="0"/>
          <w:numId w:val="1001"/>
        </w:numPr>
      </w:pPr>
      <w:r>
        <w:t xml:space="preserve">Campaign Split data is sourced from Snowflake.</w:t>
      </w:r>
    </w:p>
    <w:p>
      <w:pPr>
        <w:pStyle w:val="FirstParagraph"/>
      </w:pPr>
      <w:r>
        <w:t xml:space="preserve">Purpose:</w:t>
      </w:r>
    </w:p>
    <w:p>
      <w:pPr>
        <w:pStyle w:val="Compact"/>
        <w:numPr>
          <w:ilvl w:val="0"/>
          <w:numId w:val="1002"/>
        </w:numPr>
      </w:pPr>
      <w:r>
        <w:t xml:space="preserve">Provides the starting population for Winback audience qualification.</w:t>
      </w:r>
    </w:p>
    <w:p>
      <w:r>
        <w:pict>
          <v:rect style="width:0;height:1.5pt" o:hralign="center" o:hrstd="t" o:hr="t"/>
        </w:pict>
      </w:r>
    </w:p>
    <w:bookmarkEnd w:id="21"/>
    <w:bookmarkEnd w:id="22"/>
    <w:bookmarkStart w:id="31" w:name="key-data-sources"/>
    <w:p>
      <w:pPr>
        <w:pStyle w:val="Heading2"/>
      </w:pPr>
      <w:r>
        <w:t xml:space="preserve">Key Data Sources</w:t>
      </w:r>
    </w:p>
    <w:bookmarkStart w:id="23" w:name="marketing-restrictions-file"/>
    <w:p>
      <w:pPr>
        <w:pStyle w:val="Heading3"/>
      </w:pPr>
      <w:r>
        <w:t xml:space="preserve">Marketing Restrictions File</w:t>
      </w:r>
    </w:p>
    <w:p>
      <w:pPr>
        <w:pStyle w:val="FirstParagraph"/>
      </w:pPr>
      <w:r>
        <w:t xml:space="preserve">Provides campaign-level business rules and restrictions.</w:t>
      </w:r>
    </w:p>
    <w:p>
      <w:pPr>
        <w:pStyle w:val="BodyText"/>
      </w:pPr>
      <w:r>
        <w:t xml:space="preserve">Business Purpose:</w:t>
      </w:r>
    </w:p>
    <w:p>
      <w:pPr>
        <w:pStyle w:val="Compact"/>
        <w:numPr>
          <w:ilvl w:val="0"/>
          <w:numId w:val="1003"/>
        </w:numPr>
      </w:pPr>
      <w:r>
        <w:t xml:space="preserve">Defines approved mailing states.</w:t>
      </w:r>
    </w:p>
    <w:p>
      <w:pPr>
        <w:pStyle w:val="Compact"/>
        <w:numPr>
          <w:ilvl w:val="0"/>
          <w:numId w:val="1003"/>
        </w:numPr>
      </w:pPr>
      <w:r>
        <w:t xml:space="preserve">Defines age eligibility requirements.</w:t>
      </w:r>
    </w:p>
    <w:p>
      <w:pPr>
        <w:pStyle w:val="Compact"/>
        <w:numPr>
          <w:ilvl w:val="0"/>
          <w:numId w:val="1003"/>
        </w:numPr>
      </w:pPr>
      <w:r>
        <w:t xml:space="preserve">Defines campaign-specific qualification parameters.</w:t>
      </w:r>
    </w:p>
    <w:p>
      <w:r>
        <w:pict>
          <v:rect style="width:0;height:1.5pt" o:hralign="center" o:hrstd="t" o:hr="t"/>
        </w:pict>
      </w:r>
    </w:p>
    <w:bookmarkEnd w:id="23"/>
    <w:bookmarkStart w:id="24" w:name="selection-score-configuration"/>
    <w:p>
      <w:pPr>
        <w:pStyle w:val="Heading3"/>
      </w:pPr>
      <w:r>
        <w:t xml:space="preserve">Selection Score Configuration</w:t>
      </w:r>
    </w:p>
    <w:p>
      <w:pPr>
        <w:pStyle w:val="FirstParagraph"/>
      </w:pPr>
      <w:r>
        <w:t xml:space="preserve">Contains campaign score thresholds used for audience prioritization.</w:t>
      </w:r>
    </w:p>
    <w:p>
      <w:pPr>
        <w:pStyle w:val="BodyText"/>
      </w:pPr>
      <w:r>
        <w:t xml:space="preserve">Business Purpose:</w:t>
      </w:r>
    </w:p>
    <w:p>
      <w:pPr>
        <w:pStyle w:val="Compact"/>
        <w:numPr>
          <w:ilvl w:val="0"/>
          <w:numId w:val="1004"/>
        </w:numPr>
      </w:pPr>
      <w:r>
        <w:t xml:space="preserve">Identifies customers most likely to respond to Winback marketing efforts.</w:t>
      </w:r>
    </w:p>
    <w:p>
      <w:pPr>
        <w:pStyle w:val="Compact"/>
        <w:numPr>
          <w:ilvl w:val="0"/>
          <w:numId w:val="1004"/>
        </w:numPr>
      </w:pPr>
      <w:r>
        <w:t xml:space="preserve">Establishes minimum score requirements for campaign inclusion.</w:t>
      </w:r>
    </w:p>
    <w:p>
      <w:r>
        <w:pict>
          <v:rect style="width:0;height:1.5pt" o:hralign="center" o:hrstd="t" o:hr="t"/>
        </w:pict>
      </w:r>
    </w:p>
    <w:bookmarkEnd w:id="24"/>
    <w:bookmarkStart w:id="25" w:name="residence-eligible-population"/>
    <w:p>
      <w:pPr>
        <w:pStyle w:val="Heading3"/>
      </w:pPr>
      <w:r>
        <w:t xml:space="preserve">Residence Eligible Population</w:t>
      </w:r>
    </w:p>
    <w:p>
      <w:pPr>
        <w:pStyle w:val="FirstParagraph"/>
      </w:pPr>
      <w:r>
        <w:t xml:space="preserve">Contains customer demographic, address, policy, and customer-level attributes.</w:t>
      </w:r>
    </w:p>
    <w:p>
      <w:pPr>
        <w:pStyle w:val="BodyText"/>
      </w:pPr>
      <w:r>
        <w:t xml:space="preserve">Business Purpose:</w:t>
      </w:r>
    </w:p>
    <w:p>
      <w:pPr>
        <w:pStyle w:val="Compact"/>
        <w:numPr>
          <w:ilvl w:val="0"/>
          <w:numId w:val="1005"/>
        </w:numPr>
      </w:pPr>
      <w:r>
        <w:t xml:space="preserve">Serves as the primary customer dataset used for audience qualification.</w:t>
      </w:r>
    </w:p>
    <w:p>
      <w:pPr>
        <w:pStyle w:val="FirstParagraph"/>
      </w:pPr>
      <w:r>
        <w:t xml:space="preserve">Key Attributes:</w:t>
      </w:r>
    </w:p>
    <w:p>
      <w:pPr>
        <w:pStyle w:val="Compact"/>
        <w:numPr>
          <w:ilvl w:val="0"/>
          <w:numId w:val="1006"/>
        </w:numPr>
      </w:pPr>
      <w:r>
        <w:t xml:space="preserve">Customer Identifier</w:t>
      </w:r>
    </w:p>
    <w:p>
      <w:pPr>
        <w:pStyle w:val="Compact"/>
        <w:numPr>
          <w:ilvl w:val="0"/>
          <w:numId w:val="1006"/>
        </w:numPr>
      </w:pPr>
      <w:r>
        <w:t xml:space="preserve">Address Identifier</w:t>
      </w:r>
    </w:p>
    <w:p>
      <w:pPr>
        <w:pStyle w:val="Compact"/>
        <w:numPr>
          <w:ilvl w:val="0"/>
          <w:numId w:val="1006"/>
        </w:numPr>
      </w:pPr>
      <w:r>
        <w:t xml:space="preserve">State</w:t>
      </w:r>
    </w:p>
    <w:p>
      <w:pPr>
        <w:pStyle w:val="Compact"/>
        <w:numPr>
          <w:ilvl w:val="0"/>
          <w:numId w:val="1006"/>
        </w:numPr>
      </w:pPr>
      <w:r>
        <w:t xml:space="preserve">ZIP Code</w:t>
      </w:r>
    </w:p>
    <w:p>
      <w:pPr>
        <w:pStyle w:val="Compact"/>
        <w:numPr>
          <w:ilvl w:val="0"/>
          <w:numId w:val="1006"/>
        </w:numPr>
      </w:pPr>
      <w:r>
        <w:t xml:space="preserve">Age</w:t>
      </w:r>
    </w:p>
    <w:p>
      <w:pPr>
        <w:pStyle w:val="Compact"/>
        <w:numPr>
          <w:ilvl w:val="0"/>
          <w:numId w:val="1006"/>
        </w:numPr>
      </w:pPr>
      <w:r>
        <w:t xml:space="preserve">Hartford Score</w:t>
      </w:r>
    </w:p>
    <w:p>
      <w:pPr>
        <w:pStyle w:val="Compact"/>
        <w:numPr>
          <w:ilvl w:val="0"/>
          <w:numId w:val="1006"/>
        </w:numPr>
      </w:pPr>
      <w:r>
        <w:t xml:space="preserve">DMA Source</w:t>
      </w:r>
    </w:p>
    <w:p>
      <w:pPr>
        <w:pStyle w:val="Compact"/>
        <w:numPr>
          <w:ilvl w:val="0"/>
          <w:numId w:val="1006"/>
        </w:numPr>
      </w:pPr>
      <w:r>
        <w:t xml:space="preserve">Policy Attributes</w:t>
      </w:r>
    </w:p>
    <w:p>
      <w:r>
        <w:pict>
          <v:rect style="width:0;height:1.5pt" o:hralign="center" o:hrstd="t" o:hr="t"/>
        </w:pict>
      </w:r>
    </w:p>
    <w:bookmarkEnd w:id="25"/>
    <w:bookmarkStart w:id="26" w:name="individual-summary-data"/>
    <w:p>
      <w:pPr>
        <w:pStyle w:val="Heading3"/>
      </w:pPr>
      <w:r>
        <w:t xml:space="preserve">Individual Summary Data</w:t>
      </w:r>
    </w:p>
    <w:p>
      <w:pPr>
        <w:pStyle w:val="FirstParagraph"/>
      </w:pPr>
      <w:r>
        <w:t xml:space="preserve">Provides customer-level predictive marketing scores.</w:t>
      </w:r>
    </w:p>
    <w:p>
      <w:pPr>
        <w:pStyle w:val="BodyText"/>
      </w:pPr>
      <w:r>
        <w:t xml:space="preserve">Business Purpose:</w:t>
      </w:r>
    </w:p>
    <w:p>
      <w:pPr>
        <w:pStyle w:val="Compact"/>
        <w:numPr>
          <w:ilvl w:val="0"/>
          <w:numId w:val="1007"/>
        </w:numPr>
      </w:pPr>
      <w:r>
        <w:t xml:space="preserve">Supports customer prioritization using response propensity models.</w:t>
      </w:r>
    </w:p>
    <w:p>
      <w:pPr>
        <w:pStyle w:val="Compact"/>
        <w:numPr>
          <w:ilvl w:val="0"/>
          <w:numId w:val="1007"/>
        </w:numPr>
      </w:pPr>
      <w:r>
        <w:t xml:space="preserve">Enables application of campaign score thresholds.</w:t>
      </w:r>
    </w:p>
    <w:p>
      <w:r>
        <w:pict>
          <v:rect style="width:0;height:1.5pt" o:hralign="center" o:hrstd="t" o:hr="t"/>
        </w:pict>
      </w:r>
    </w:p>
    <w:bookmarkEnd w:id="26"/>
    <w:bookmarkStart w:id="27" w:name="suppression-dataset"/>
    <w:p>
      <w:pPr>
        <w:pStyle w:val="Heading3"/>
      </w:pPr>
      <w:r>
        <w:t xml:space="preserve">5448 Suppression Dataset</w:t>
      </w:r>
    </w:p>
    <w:p>
      <w:pPr>
        <w:pStyle w:val="FirstParagraph"/>
      </w:pPr>
      <w:r>
        <w:t xml:space="preserve">Contains customers excluded from Winback marketing activity.</w:t>
      </w:r>
    </w:p>
    <w:p>
      <w:pPr>
        <w:pStyle w:val="BodyText"/>
      </w:pPr>
      <w:r>
        <w:t xml:space="preserve">Business Purpose:</w:t>
      </w:r>
    </w:p>
    <w:p>
      <w:pPr>
        <w:pStyle w:val="Compact"/>
        <w:numPr>
          <w:ilvl w:val="0"/>
          <w:numId w:val="1008"/>
        </w:numPr>
      </w:pPr>
      <w:r>
        <w:t xml:space="preserve">Ensures compliance with business-defined suppression requirements.</w:t>
      </w:r>
    </w:p>
    <w:p>
      <w:r>
        <w:pict>
          <v:rect style="width:0;height:1.5pt" o:hralign="center" o:hrstd="t" o:hr="t"/>
        </w:pict>
      </w:r>
    </w:p>
    <w:bookmarkEnd w:id="27"/>
    <w:bookmarkStart w:id="28" w:name="conversion-dataset"/>
    <w:p>
      <w:pPr>
        <w:pStyle w:val="Heading3"/>
      </w:pPr>
      <w:r>
        <w:t xml:space="preserve">Conversion Dataset</w:t>
      </w:r>
    </w:p>
    <w:p>
      <w:pPr>
        <w:pStyle w:val="FirstParagraph"/>
      </w:pPr>
      <w:r>
        <w:t xml:space="preserve">Contains recent quote and conversion activity.</w:t>
      </w:r>
    </w:p>
    <w:p>
      <w:pPr>
        <w:pStyle w:val="BodyText"/>
      </w:pPr>
      <w:r>
        <w:t xml:space="preserve">Business Purpose:</w:t>
      </w:r>
    </w:p>
    <w:p>
      <w:pPr>
        <w:pStyle w:val="Compact"/>
        <w:numPr>
          <w:ilvl w:val="0"/>
          <w:numId w:val="1009"/>
        </w:numPr>
      </w:pPr>
      <w:r>
        <w:t xml:space="preserve">Prevents customers who recently converted from receiving unnecessary Winback communications.</w:t>
      </w:r>
    </w:p>
    <w:p>
      <w:r>
        <w:pict>
          <v:rect style="width:0;height:1.5pt" o:hralign="center" o:hrstd="t" o:hr="t"/>
        </w:pict>
      </w:r>
    </w:p>
    <w:bookmarkEnd w:id="28"/>
    <w:bookmarkStart w:id="29" w:name="home-zip-reference-dataset"/>
    <w:p>
      <w:pPr>
        <w:pStyle w:val="Heading3"/>
      </w:pPr>
      <w:r>
        <w:t xml:space="preserve">Home ZIP Reference Dataset</w:t>
      </w:r>
    </w:p>
    <w:p>
      <w:pPr>
        <w:pStyle w:val="FirstParagraph"/>
      </w:pPr>
      <w:r>
        <w:t xml:space="preserve">Identifies customers associated with Home products.</w:t>
      </w:r>
    </w:p>
    <w:p>
      <w:pPr>
        <w:pStyle w:val="BodyText"/>
      </w:pPr>
      <w:r>
        <w:t xml:space="preserve">Business Purpose:</w:t>
      </w:r>
    </w:p>
    <w:p>
      <w:pPr>
        <w:pStyle w:val="Compact"/>
        <w:numPr>
          <w:ilvl w:val="0"/>
          <w:numId w:val="1010"/>
        </w:numPr>
      </w:pPr>
      <w:r>
        <w:t xml:space="preserve">Supports segmentation and downstream reporting.</w:t>
      </w:r>
    </w:p>
    <w:p>
      <w:r>
        <w:pict>
          <v:rect style="width:0;height:1.5pt" o:hralign="center" o:hrstd="t" o:hr="t"/>
        </w:pict>
      </w:r>
    </w:p>
    <w:bookmarkEnd w:id="29"/>
    <w:bookmarkStart w:id="30" w:name="direct-mail-audience-file"/>
    <w:p>
      <w:pPr>
        <w:pStyle w:val="Heading3"/>
      </w:pPr>
      <w:r>
        <w:t xml:space="preserve">Direct Mail Audience File</w:t>
      </w:r>
    </w:p>
    <w:p>
      <w:pPr>
        <w:pStyle w:val="FirstParagraph"/>
      </w:pPr>
      <w:r>
        <w:t xml:space="preserve">Contains customers selected for Direct Mail campaigns.</w:t>
      </w:r>
    </w:p>
    <w:p>
      <w:pPr>
        <w:pStyle w:val="BodyText"/>
      </w:pPr>
      <w:r>
        <w:t xml:space="preserve">Business Purpose:</w:t>
      </w:r>
    </w:p>
    <w:p>
      <w:pPr>
        <w:pStyle w:val="Compact"/>
        <w:numPr>
          <w:ilvl w:val="0"/>
          <w:numId w:val="1011"/>
        </w:numPr>
      </w:pPr>
      <w:r>
        <w:t xml:space="preserve">Supports channel coordination and overlap reporting between Email and Direct Mail campaigns.</w:t>
      </w:r>
    </w:p>
    <w:p>
      <w:r>
        <w:pict>
          <v:rect style="width:0;height:1.5pt" o:hralign="center" o:hrstd="t" o:hr="t"/>
        </w:pict>
      </w:r>
    </w:p>
    <w:bookmarkEnd w:id="30"/>
    <w:bookmarkEnd w:id="31"/>
    <w:bookmarkStart w:id="42" w:name="audience-qualification-rules"/>
    <w:p>
      <w:pPr>
        <w:pStyle w:val="Heading2"/>
      </w:pPr>
      <w:r>
        <w:t xml:space="preserve">Audience Qualification Rules</w:t>
      </w:r>
    </w:p>
    <w:p>
      <w:pPr>
        <w:pStyle w:val="FirstParagraph"/>
      </w:pPr>
      <w:r>
        <w:t xml:space="preserve">The audience population is refined through a series of qualification and suppression steps.</w:t>
      </w:r>
    </w:p>
    <w:bookmarkStart w:id="32" w:name="state-qualification"/>
    <w:p>
      <w:pPr>
        <w:pStyle w:val="Heading3"/>
      </w:pPr>
      <w:r>
        <w:t xml:space="preserve">State Qualification</w:t>
      </w:r>
    </w:p>
    <w:p>
      <w:pPr>
        <w:pStyle w:val="FirstParagraph"/>
      </w:pPr>
      <w:r>
        <w:t xml:space="preserve">Customers must reside in states approved for Winback marketing communications.</w:t>
      </w:r>
    </w:p>
    <w:bookmarkEnd w:id="32"/>
    <w:bookmarkStart w:id="33" w:name="age-qualification"/>
    <w:p>
      <w:pPr>
        <w:pStyle w:val="Heading3"/>
      </w:pPr>
      <w:r>
        <w:t xml:space="preserve">Age Qualification</w:t>
      </w:r>
    </w:p>
    <w:p>
      <w:pPr>
        <w:pStyle w:val="FirstParagraph"/>
      </w:pPr>
      <w:r>
        <w:t xml:space="preserve">Customers must satisfy campaign age requirements based on business-defined minimum and maximum age criteria.</w:t>
      </w:r>
    </w:p>
    <w:bookmarkEnd w:id="33"/>
    <w:bookmarkStart w:id="34" w:name="non-target-zip-exclusion"/>
    <w:p>
      <w:pPr>
        <w:pStyle w:val="Heading3"/>
      </w:pPr>
      <w:r>
        <w:t xml:space="preserve">Non-Target ZIP Exclusion</w:t>
      </w:r>
    </w:p>
    <w:p>
      <w:pPr>
        <w:pStyle w:val="FirstParagraph"/>
      </w:pPr>
      <w:r>
        <w:t xml:space="preserve">Customers residing in excluded ZIP codes are removed from the audience.</w:t>
      </w:r>
    </w:p>
    <w:bookmarkEnd w:id="34"/>
    <w:bookmarkStart w:id="35" w:name="recent-decline-exclusion"/>
    <w:p>
      <w:pPr>
        <w:pStyle w:val="Heading3"/>
      </w:pPr>
      <w:r>
        <w:t xml:space="preserve">Recent Decline Exclusion</w:t>
      </w:r>
    </w:p>
    <w:p>
      <w:pPr>
        <w:pStyle w:val="FirstParagraph"/>
      </w:pPr>
      <w:r>
        <w:t xml:space="preserve">Customers with recent auto-decline activity are removed to avoid premature re-engagement attempts.</w:t>
      </w:r>
    </w:p>
    <w:bookmarkEnd w:id="35"/>
    <w:bookmarkStart w:id="36" w:name="dma-validation"/>
    <w:p>
      <w:pPr>
        <w:pStyle w:val="Heading3"/>
      </w:pPr>
      <w:r>
        <w:t xml:space="preserve">DMA Validation</w:t>
      </w:r>
    </w:p>
    <w:p>
      <w:pPr>
        <w:pStyle w:val="FirstParagraph"/>
      </w:pPr>
      <w:r>
        <w:t xml:space="preserve">Customers with invalid or unavailable DMA information are excluded.</w:t>
      </w:r>
    </w:p>
    <w:bookmarkEnd w:id="36"/>
    <w:bookmarkStart w:id="37" w:name="suppression-file-exclusion"/>
    <w:p>
      <w:pPr>
        <w:pStyle w:val="Heading3"/>
      </w:pPr>
      <w:r>
        <w:t xml:space="preserve">Suppression File Exclusion</w:t>
      </w:r>
    </w:p>
    <w:p>
      <w:pPr>
        <w:pStyle w:val="FirstParagraph"/>
      </w:pPr>
      <w:r>
        <w:t xml:space="preserve">Customers present in the 5448 suppression population are excluded from campaign targeting.</w:t>
      </w:r>
    </w:p>
    <w:bookmarkEnd w:id="37"/>
    <w:bookmarkStart w:id="38" w:name="residence-qualification"/>
    <w:p>
      <w:pPr>
        <w:pStyle w:val="Heading3"/>
      </w:pPr>
      <w:r>
        <w:t xml:space="preserve">Residence Qualification</w:t>
      </w:r>
    </w:p>
    <w:p>
      <w:pPr>
        <w:pStyle w:val="FirstParagraph"/>
      </w:pPr>
      <w:r>
        <w:t xml:space="preserve">Customers are classified into Member Residence and Non-Member Residence segments to support campaign targeting requirements.</w:t>
      </w:r>
    </w:p>
    <w:bookmarkEnd w:id="38"/>
    <w:bookmarkStart w:id="39" w:name="predictive-score-qualification"/>
    <w:p>
      <w:pPr>
        <w:pStyle w:val="Heading3"/>
      </w:pPr>
      <w:r>
        <w:t xml:space="preserve">Predictive Score Qualification</w:t>
      </w:r>
    </w:p>
    <w:p>
      <w:pPr>
        <w:pStyle w:val="FirstParagraph"/>
      </w:pPr>
      <w:r>
        <w:t xml:space="preserve">Customers are evaluated using predictive marketing scores that estimate their likelihood to respond to the campaign. Only customers meeting the required score thresholds are retained.</w:t>
      </w:r>
    </w:p>
    <w:bookmarkEnd w:id="39"/>
    <w:bookmarkStart w:id="40" w:name="policy-status-qualification"/>
    <w:p>
      <w:pPr>
        <w:pStyle w:val="Heading3"/>
      </w:pPr>
      <w:r>
        <w:t xml:space="preserve">Policy Status Qualification</w:t>
      </w:r>
    </w:p>
    <w:p>
      <w:pPr>
        <w:pStyle w:val="FirstParagraph"/>
      </w:pPr>
      <w:r>
        <w:t xml:space="preserve">Customers associated with policy cancellation, non-renewal, rewrite activity, or other restricted policy conditions are excluded from the audience.</w:t>
      </w:r>
    </w:p>
    <w:bookmarkEnd w:id="40"/>
    <w:bookmarkStart w:id="41" w:name="recent-conversion-exclusion"/>
    <w:p>
      <w:pPr>
        <w:pStyle w:val="Heading3"/>
      </w:pPr>
      <w:r>
        <w:t xml:space="preserve">Recent Conversion Exclusion</w:t>
      </w:r>
    </w:p>
    <w:p>
      <w:pPr>
        <w:pStyle w:val="FirstParagraph"/>
      </w:pPr>
      <w:r>
        <w:t xml:space="preserve">Customers with recent quote or conversion activity are removed to prevent redundant marketing outreach.</w:t>
      </w:r>
    </w:p>
    <w:p>
      <w:r>
        <w:pict>
          <v:rect style="width:0;height:1.5pt" o:hralign="center" o:hrstd="t" o:hr="t"/>
        </w:pict>
      </w:r>
    </w:p>
    <w:bookmarkEnd w:id="41"/>
    <w:bookmarkEnd w:id="42"/>
    <w:bookmarkStart w:id="45" w:name="derived-business-indicators"/>
    <w:p>
      <w:pPr>
        <w:pStyle w:val="Heading2"/>
      </w:pPr>
      <w:r>
        <w:t xml:space="preserve">Derived Business Indicators</w:t>
      </w:r>
    </w:p>
    <w:bookmarkStart w:id="43" w:name="home-flag"/>
    <w:p>
      <w:pPr>
        <w:pStyle w:val="Heading3"/>
      </w:pPr>
      <w:r>
        <w:t xml:space="preserve">Home Flag</w:t>
      </w:r>
    </w:p>
    <w:p>
      <w:pPr>
        <w:pStyle w:val="FirstParagraph"/>
      </w:pPr>
      <w:r>
        <w:t xml:space="preserve">Identifies whether a customer is associated with the Home line of business.</w:t>
      </w:r>
    </w:p>
    <w:p>
      <w:pPr>
        <w:pStyle w:val="BodyText"/>
      </w:pPr>
      <w:r>
        <w:t xml:space="preserve">Business Use:</w:t>
      </w:r>
    </w:p>
    <w:p>
      <w:pPr>
        <w:pStyle w:val="Compact"/>
        <w:numPr>
          <w:ilvl w:val="0"/>
          <w:numId w:val="1012"/>
        </w:numPr>
      </w:pPr>
      <w:r>
        <w:t xml:space="preserve">Segmentation</w:t>
      </w:r>
    </w:p>
    <w:p>
      <w:pPr>
        <w:pStyle w:val="Compact"/>
        <w:numPr>
          <w:ilvl w:val="0"/>
          <w:numId w:val="1012"/>
        </w:numPr>
      </w:pPr>
      <w:r>
        <w:t xml:space="preserve">Reporting</w:t>
      </w:r>
    </w:p>
    <w:p>
      <w:pPr>
        <w:pStyle w:val="Compact"/>
        <w:numPr>
          <w:ilvl w:val="0"/>
          <w:numId w:val="1012"/>
        </w:numPr>
      </w:pPr>
      <w:r>
        <w:t xml:space="preserve">Cross-line analysis</w:t>
      </w:r>
    </w:p>
    <w:bookmarkEnd w:id="43"/>
    <w:bookmarkStart w:id="44" w:name="email-direct-mail-indicator"/>
    <w:p>
      <w:pPr>
        <w:pStyle w:val="Heading3"/>
      </w:pPr>
      <w:r>
        <w:t xml:space="preserve">Email / Direct Mail Indicator</w:t>
      </w:r>
    </w:p>
    <w:p>
      <w:pPr>
        <w:pStyle w:val="FirstParagraph"/>
      </w:pPr>
      <w:r>
        <w:t xml:space="preserve">Identifies customers appearing in both Email and Direct Mail audiences.</w:t>
      </w:r>
    </w:p>
    <w:p>
      <w:pPr>
        <w:pStyle w:val="BodyText"/>
      </w:pPr>
      <w:r>
        <w:t xml:space="preserve">Business Use:</w:t>
      </w:r>
    </w:p>
    <w:p>
      <w:pPr>
        <w:pStyle w:val="Compact"/>
        <w:numPr>
          <w:ilvl w:val="0"/>
          <w:numId w:val="1013"/>
        </w:numPr>
      </w:pPr>
      <w:r>
        <w:t xml:space="preserve">Channel coordination</w:t>
      </w:r>
    </w:p>
    <w:p>
      <w:pPr>
        <w:pStyle w:val="Compact"/>
        <w:numPr>
          <w:ilvl w:val="0"/>
          <w:numId w:val="1013"/>
        </w:numPr>
      </w:pPr>
      <w:r>
        <w:t xml:space="preserve">Audience overlap analysis</w:t>
      </w:r>
    </w:p>
    <w:p>
      <w:pPr>
        <w:pStyle w:val="Compact"/>
        <w:numPr>
          <w:ilvl w:val="0"/>
          <w:numId w:val="1013"/>
        </w:numPr>
      </w:pPr>
      <w:r>
        <w:t xml:space="preserve">Marketing reporting</w:t>
      </w:r>
    </w:p>
    <w:p>
      <w:r>
        <w:pict>
          <v:rect style="width:0;height:1.5pt" o:hralign="center" o:hrstd="t" o:hr="t"/>
        </w:pict>
      </w:r>
    </w:p>
    <w:bookmarkEnd w:id="44"/>
    <w:bookmarkEnd w:id="45"/>
    <w:bookmarkStart w:id="47" w:name="final-output"/>
    <w:p>
      <w:pPr>
        <w:pStyle w:val="Heading2"/>
      </w:pPr>
      <w:r>
        <w:t xml:space="preserve">Final Output</w:t>
      </w:r>
    </w:p>
    <w:bookmarkStart w:id="46" w:name="winback-email-eligible-audience-file"/>
    <w:p>
      <w:pPr>
        <w:pStyle w:val="Heading3"/>
      </w:pPr>
      <w:r>
        <w:t xml:space="preserve">Winback Email Eligible Audience File</w:t>
      </w:r>
    </w:p>
    <w:p>
      <w:pPr>
        <w:pStyle w:val="FirstParagraph"/>
      </w:pPr>
      <w:r>
        <w:t xml:space="preserve">The final output contains customers who satisfy all business qualification requirements and suppression criteria.</w:t>
      </w:r>
    </w:p>
    <w:p>
      <w:pPr>
        <w:pStyle w:val="BodyText"/>
      </w:pPr>
      <w:r>
        <w:t xml:space="preserve">The file is provided to downstream marketing execution processes for campaign deployment.</w:t>
      </w:r>
    </w:p>
    <w:p>
      <w:pPr>
        <w:pStyle w:val="BodyText"/>
      </w:pPr>
      <w:r>
        <w:t xml:space="preserve">Key Information Included:</w:t>
      </w:r>
    </w:p>
    <w:p>
      <w:pPr>
        <w:pStyle w:val="Compact"/>
        <w:numPr>
          <w:ilvl w:val="0"/>
          <w:numId w:val="1014"/>
        </w:numPr>
      </w:pPr>
      <w:r>
        <w:t xml:space="preserve">Customer Identifiers</w:t>
      </w:r>
    </w:p>
    <w:p>
      <w:pPr>
        <w:pStyle w:val="Compact"/>
        <w:numPr>
          <w:ilvl w:val="0"/>
          <w:numId w:val="1014"/>
        </w:numPr>
      </w:pPr>
      <w:r>
        <w:t xml:space="preserve">Address Identifiers</w:t>
      </w:r>
    </w:p>
    <w:p>
      <w:pPr>
        <w:pStyle w:val="Compact"/>
        <w:numPr>
          <w:ilvl w:val="0"/>
          <w:numId w:val="1014"/>
        </w:numPr>
      </w:pPr>
      <w:r>
        <w:t xml:space="preserve">Demographic Information</w:t>
      </w:r>
    </w:p>
    <w:p>
      <w:pPr>
        <w:pStyle w:val="Compact"/>
        <w:numPr>
          <w:ilvl w:val="0"/>
          <w:numId w:val="1014"/>
        </w:numPr>
      </w:pPr>
      <w:r>
        <w:t xml:space="preserve">Predictive Marketing Scores</w:t>
      </w:r>
    </w:p>
    <w:p>
      <w:pPr>
        <w:pStyle w:val="Compact"/>
        <w:numPr>
          <w:ilvl w:val="0"/>
          <w:numId w:val="1014"/>
        </w:numPr>
      </w:pPr>
      <w:r>
        <w:t xml:space="preserve">Home Flag</w:t>
      </w:r>
    </w:p>
    <w:p>
      <w:pPr>
        <w:pStyle w:val="Compact"/>
        <w:numPr>
          <w:ilvl w:val="0"/>
          <w:numId w:val="1014"/>
        </w:numPr>
      </w:pPr>
      <w:r>
        <w:t xml:space="preserve">Email / Direct Mail Indicator</w:t>
      </w:r>
    </w:p>
    <w:p>
      <w:pPr>
        <w:pStyle w:val="Compact"/>
        <w:numPr>
          <w:ilvl w:val="0"/>
          <w:numId w:val="1014"/>
        </w:numPr>
      </w:pPr>
      <w:r>
        <w:t xml:space="preserve">Campaign Eligibility Attributes</w:t>
      </w:r>
    </w:p>
    <w:p>
      <w:r>
        <w:pict>
          <v:rect style="width:0;height:1.5pt" o:hralign="center" o:hrstd="t" o:hr="t"/>
        </w:pict>
      </w:r>
    </w:p>
    <w:bookmarkEnd w:id="46"/>
    <w:bookmarkEnd w:id="47"/>
    <w:bookmarkStart w:id="48" w:name="business-value"/>
    <w:p>
      <w:pPr>
        <w:pStyle w:val="Heading2"/>
      </w:pPr>
      <w:r>
        <w:t xml:space="preserve">Business Value</w:t>
      </w:r>
    </w:p>
    <w:p>
      <w:pPr>
        <w:pStyle w:val="FirstParagraph"/>
      </w:pPr>
      <w:r>
        <w:t xml:space="preserve">The Winback audience selection process helps ensure that marketing communications are directed toward customers with the highest likelihood of engagement while complying with business restrictions, suppression requirements, and channel coordination rules.</w:t>
      </w:r>
    </w:p>
    <w:p>
      <w:pPr>
        <w:pStyle w:val="BodyText"/>
      </w:pPr>
      <w:r>
        <w:t xml:space="preserve">This approach improves campaign effectiveness, reduces unnecessary customer contact, and supports efficient marketing execution.</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2026-06-02T07:32:27Z</dcterms:created>
  <dcterms:modified xsi:type="dcterms:W3CDTF">2026-06-02T07:32:27Z</dcterms:modified>
</cp:coreProperties>
</file>

<file path=docProps/custom.xml><?xml version="1.0" encoding="utf-8"?>
<Properties xmlns="http://schemas.openxmlformats.org/officeDocument/2006/custom-properties" xmlns:vt="http://schemas.openxmlformats.org/officeDocument/2006/docPropsVTypes"/>
</file>