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956" w:rsidRDefault="006C6956" w:rsidP="006C6956">
      <w:pPr>
        <w:pStyle w:val="Heading1"/>
      </w:pPr>
      <w:bookmarkStart w:id="0" w:name="_Toc29194316"/>
      <w:proofErr w:type="spellStart"/>
      <w:r>
        <w:t>QualDash</w:t>
      </w:r>
      <w:proofErr w:type="spellEnd"/>
      <w:r>
        <w:t xml:space="preserve"> 2.0 Release Notes</w:t>
      </w:r>
      <w:bookmarkEnd w:id="0"/>
      <w:r>
        <w:t xml:space="preserve"> </w:t>
      </w:r>
    </w:p>
    <w:p w:rsidR="00062E51" w:rsidRPr="003E0842" w:rsidRDefault="006C6956" w:rsidP="00D17D95">
      <w:pPr>
        <w:rPr>
          <w:sz w:val="26"/>
          <w:szCs w:val="26"/>
        </w:rPr>
      </w:pPr>
      <w:r w:rsidRPr="003E0842">
        <w:rPr>
          <w:sz w:val="26"/>
          <w:szCs w:val="26"/>
        </w:rPr>
        <w:t>06.01.2020</w:t>
      </w:r>
      <w:r w:rsidR="00062E51" w:rsidRPr="003E0842">
        <w:rPr>
          <w:sz w:val="26"/>
          <w:szCs w:val="26"/>
        </w:rPr>
        <w:t xml:space="preserve"> </w:t>
      </w:r>
    </w:p>
    <w:p w:rsidR="00FA7D40" w:rsidRDefault="00FA7D40" w:rsidP="00FA7D40"/>
    <w:sdt>
      <w:sdtPr>
        <w:rPr>
          <w:rFonts w:asciiTheme="minorHAnsi" w:eastAsiaTheme="minorHAnsi" w:hAnsiTheme="minorHAnsi" w:cstheme="minorBidi"/>
          <w:color w:val="auto"/>
          <w:sz w:val="22"/>
          <w:szCs w:val="22"/>
        </w:rPr>
        <w:id w:val="995696391"/>
        <w:docPartObj>
          <w:docPartGallery w:val="Table of Contents"/>
          <w:docPartUnique/>
        </w:docPartObj>
      </w:sdtPr>
      <w:sdtEndPr>
        <w:rPr>
          <w:b/>
          <w:bCs/>
          <w:noProof/>
        </w:rPr>
      </w:sdtEndPr>
      <w:sdtContent>
        <w:p w:rsidR="00456C64" w:rsidRDefault="00456C64">
          <w:pPr>
            <w:pStyle w:val="TOCHeading"/>
          </w:pPr>
          <w:r>
            <w:t>Contents</w:t>
          </w:r>
        </w:p>
        <w:p w:rsidR="008C6394" w:rsidRDefault="00456C64">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bookmarkStart w:id="1" w:name="_GoBack"/>
          <w:r w:rsidR="008C6394" w:rsidRPr="001458C1">
            <w:rPr>
              <w:rStyle w:val="Hyperlink"/>
              <w:noProof/>
            </w:rPr>
            <w:fldChar w:fldCharType="begin"/>
          </w:r>
          <w:r w:rsidR="008C6394" w:rsidRPr="001458C1">
            <w:rPr>
              <w:rStyle w:val="Hyperlink"/>
              <w:noProof/>
            </w:rPr>
            <w:instrText xml:space="preserve"> </w:instrText>
          </w:r>
          <w:r w:rsidR="008C6394">
            <w:rPr>
              <w:noProof/>
            </w:rPr>
            <w:instrText>HYPERLINK \l "_Toc29194316"</w:instrText>
          </w:r>
          <w:r w:rsidR="008C6394" w:rsidRPr="001458C1">
            <w:rPr>
              <w:rStyle w:val="Hyperlink"/>
              <w:noProof/>
            </w:rPr>
            <w:instrText xml:space="preserve"> </w:instrText>
          </w:r>
          <w:r w:rsidR="008C6394" w:rsidRPr="001458C1">
            <w:rPr>
              <w:rStyle w:val="Hyperlink"/>
              <w:noProof/>
            </w:rPr>
          </w:r>
          <w:r w:rsidR="008C6394" w:rsidRPr="001458C1">
            <w:rPr>
              <w:rStyle w:val="Hyperlink"/>
              <w:noProof/>
            </w:rPr>
            <w:fldChar w:fldCharType="separate"/>
          </w:r>
          <w:r w:rsidR="008C6394" w:rsidRPr="001458C1">
            <w:rPr>
              <w:rStyle w:val="Hyperlink"/>
              <w:noProof/>
            </w:rPr>
            <w:t>QualDash 2.0 Release Notes</w:t>
          </w:r>
          <w:r w:rsidR="008C6394">
            <w:rPr>
              <w:noProof/>
              <w:webHidden/>
            </w:rPr>
            <w:tab/>
          </w:r>
          <w:r w:rsidR="008C6394">
            <w:rPr>
              <w:noProof/>
              <w:webHidden/>
            </w:rPr>
            <w:fldChar w:fldCharType="begin"/>
          </w:r>
          <w:r w:rsidR="008C6394">
            <w:rPr>
              <w:noProof/>
              <w:webHidden/>
            </w:rPr>
            <w:instrText xml:space="preserve"> PAGEREF _Toc29194316 \h </w:instrText>
          </w:r>
          <w:r w:rsidR="008C6394">
            <w:rPr>
              <w:noProof/>
              <w:webHidden/>
            </w:rPr>
          </w:r>
          <w:r w:rsidR="008C6394">
            <w:rPr>
              <w:noProof/>
              <w:webHidden/>
            </w:rPr>
            <w:fldChar w:fldCharType="separate"/>
          </w:r>
          <w:r w:rsidR="008C6394">
            <w:rPr>
              <w:noProof/>
              <w:webHidden/>
            </w:rPr>
            <w:t>1</w:t>
          </w:r>
          <w:r w:rsidR="008C6394">
            <w:rPr>
              <w:noProof/>
              <w:webHidden/>
            </w:rPr>
            <w:fldChar w:fldCharType="end"/>
          </w:r>
          <w:r w:rsidR="008C6394" w:rsidRPr="001458C1">
            <w:rPr>
              <w:rStyle w:val="Hyperlink"/>
              <w:noProof/>
            </w:rPr>
            <w:fldChar w:fldCharType="end"/>
          </w:r>
        </w:p>
        <w:bookmarkEnd w:id="1"/>
        <w:p w:rsidR="008C6394" w:rsidRDefault="008C6394">
          <w:pPr>
            <w:pStyle w:val="TOC2"/>
            <w:tabs>
              <w:tab w:val="right" w:leader="dot" w:pos="9350"/>
            </w:tabs>
            <w:rPr>
              <w:rFonts w:eastAsiaTheme="minorEastAsia"/>
              <w:noProof/>
            </w:rPr>
          </w:pPr>
          <w:r w:rsidRPr="001458C1">
            <w:rPr>
              <w:rStyle w:val="Hyperlink"/>
              <w:noProof/>
            </w:rPr>
            <w:fldChar w:fldCharType="begin"/>
          </w:r>
          <w:r w:rsidRPr="001458C1">
            <w:rPr>
              <w:rStyle w:val="Hyperlink"/>
              <w:noProof/>
            </w:rPr>
            <w:instrText xml:space="preserve"> </w:instrText>
          </w:r>
          <w:r>
            <w:rPr>
              <w:noProof/>
            </w:rPr>
            <w:instrText>HYPERLINK \l "_Toc29194317"</w:instrText>
          </w:r>
          <w:r w:rsidRPr="001458C1">
            <w:rPr>
              <w:rStyle w:val="Hyperlink"/>
              <w:noProof/>
            </w:rPr>
            <w:instrText xml:space="preserve"> </w:instrText>
          </w:r>
          <w:r w:rsidRPr="001458C1">
            <w:rPr>
              <w:rStyle w:val="Hyperlink"/>
              <w:noProof/>
            </w:rPr>
          </w:r>
          <w:r w:rsidRPr="001458C1">
            <w:rPr>
              <w:rStyle w:val="Hyperlink"/>
              <w:noProof/>
            </w:rPr>
            <w:fldChar w:fldCharType="separate"/>
          </w:r>
          <w:r w:rsidRPr="001458C1">
            <w:rPr>
              <w:rStyle w:val="Hyperlink"/>
              <w:noProof/>
            </w:rPr>
            <w:t>Introduction</w:t>
          </w:r>
          <w:r>
            <w:rPr>
              <w:noProof/>
              <w:webHidden/>
            </w:rPr>
            <w:tab/>
          </w:r>
          <w:r>
            <w:rPr>
              <w:noProof/>
              <w:webHidden/>
            </w:rPr>
            <w:fldChar w:fldCharType="begin"/>
          </w:r>
          <w:r>
            <w:rPr>
              <w:noProof/>
              <w:webHidden/>
            </w:rPr>
            <w:instrText xml:space="preserve"> PAGEREF _Toc29194317 \h </w:instrText>
          </w:r>
          <w:r>
            <w:rPr>
              <w:noProof/>
              <w:webHidden/>
            </w:rPr>
          </w:r>
          <w:r>
            <w:rPr>
              <w:noProof/>
              <w:webHidden/>
            </w:rPr>
            <w:fldChar w:fldCharType="separate"/>
          </w:r>
          <w:r>
            <w:rPr>
              <w:noProof/>
              <w:webHidden/>
            </w:rPr>
            <w:t>1</w:t>
          </w:r>
          <w:r>
            <w:rPr>
              <w:noProof/>
              <w:webHidden/>
            </w:rPr>
            <w:fldChar w:fldCharType="end"/>
          </w:r>
          <w:r w:rsidRPr="001458C1">
            <w:rPr>
              <w:rStyle w:val="Hyperlink"/>
              <w:noProof/>
            </w:rPr>
            <w:fldChar w:fldCharType="end"/>
          </w:r>
        </w:p>
        <w:p w:rsidR="008C6394" w:rsidRDefault="008C6394">
          <w:pPr>
            <w:pStyle w:val="TOC2"/>
            <w:tabs>
              <w:tab w:val="right" w:leader="dot" w:pos="9350"/>
            </w:tabs>
            <w:rPr>
              <w:rFonts w:eastAsiaTheme="minorEastAsia"/>
              <w:noProof/>
            </w:rPr>
          </w:pPr>
          <w:hyperlink w:anchor="_Toc29194318" w:history="1">
            <w:r w:rsidRPr="001458C1">
              <w:rPr>
                <w:rStyle w:val="Hyperlink"/>
                <w:noProof/>
              </w:rPr>
              <w:t>What’s new in QualDash 2.0</w:t>
            </w:r>
            <w:r>
              <w:rPr>
                <w:noProof/>
                <w:webHidden/>
              </w:rPr>
              <w:tab/>
            </w:r>
            <w:r>
              <w:rPr>
                <w:noProof/>
                <w:webHidden/>
              </w:rPr>
              <w:fldChar w:fldCharType="begin"/>
            </w:r>
            <w:r>
              <w:rPr>
                <w:noProof/>
                <w:webHidden/>
              </w:rPr>
              <w:instrText xml:space="preserve"> PAGEREF _Toc29194318 \h </w:instrText>
            </w:r>
            <w:r>
              <w:rPr>
                <w:noProof/>
                <w:webHidden/>
              </w:rPr>
            </w:r>
            <w:r>
              <w:rPr>
                <w:noProof/>
                <w:webHidden/>
              </w:rPr>
              <w:fldChar w:fldCharType="separate"/>
            </w:r>
            <w:r>
              <w:rPr>
                <w:noProof/>
                <w:webHidden/>
              </w:rPr>
              <w:t>1</w:t>
            </w:r>
            <w:r>
              <w:rPr>
                <w:noProof/>
                <w:webHidden/>
              </w:rPr>
              <w:fldChar w:fldCharType="end"/>
            </w:r>
          </w:hyperlink>
        </w:p>
        <w:p w:rsidR="008C6394" w:rsidRDefault="008C6394">
          <w:pPr>
            <w:pStyle w:val="TOC3"/>
            <w:tabs>
              <w:tab w:val="right" w:leader="dot" w:pos="9350"/>
            </w:tabs>
            <w:rPr>
              <w:rFonts w:eastAsiaTheme="minorEastAsia"/>
              <w:noProof/>
            </w:rPr>
          </w:pPr>
          <w:hyperlink w:anchor="_Toc29194319" w:history="1">
            <w:r w:rsidRPr="001458C1">
              <w:rPr>
                <w:rStyle w:val="Hyperlink"/>
                <w:noProof/>
              </w:rPr>
              <w:t>Non audit-specific</w:t>
            </w:r>
            <w:r>
              <w:rPr>
                <w:noProof/>
                <w:webHidden/>
              </w:rPr>
              <w:tab/>
            </w:r>
            <w:r>
              <w:rPr>
                <w:noProof/>
                <w:webHidden/>
              </w:rPr>
              <w:fldChar w:fldCharType="begin"/>
            </w:r>
            <w:r>
              <w:rPr>
                <w:noProof/>
                <w:webHidden/>
              </w:rPr>
              <w:instrText xml:space="preserve"> PAGEREF _Toc29194319 \h </w:instrText>
            </w:r>
            <w:r>
              <w:rPr>
                <w:noProof/>
                <w:webHidden/>
              </w:rPr>
            </w:r>
            <w:r>
              <w:rPr>
                <w:noProof/>
                <w:webHidden/>
              </w:rPr>
              <w:fldChar w:fldCharType="separate"/>
            </w:r>
            <w:r>
              <w:rPr>
                <w:noProof/>
                <w:webHidden/>
              </w:rPr>
              <w:t>1</w:t>
            </w:r>
            <w:r>
              <w:rPr>
                <w:noProof/>
                <w:webHidden/>
              </w:rPr>
              <w:fldChar w:fldCharType="end"/>
            </w:r>
          </w:hyperlink>
        </w:p>
        <w:p w:rsidR="008C6394" w:rsidRDefault="008C6394">
          <w:pPr>
            <w:pStyle w:val="TOC3"/>
            <w:tabs>
              <w:tab w:val="right" w:leader="dot" w:pos="9350"/>
            </w:tabs>
            <w:rPr>
              <w:rFonts w:eastAsiaTheme="minorEastAsia"/>
              <w:noProof/>
            </w:rPr>
          </w:pPr>
          <w:hyperlink w:anchor="_Toc29194320" w:history="1">
            <w:r w:rsidRPr="001458C1">
              <w:rPr>
                <w:rStyle w:val="Hyperlink"/>
                <w:noProof/>
              </w:rPr>
              <w:t>Picanet-specific</w:t>
            </w:r>
            <w:r>
              <w:rPr>
                <w:noProof/>
                <w:webHidden/>
              </w:rPr>
              <w:tab/>
            </w:r>
            <w:r>
              <w:rPr>
                <w:noProof/>
                <w:webHidden/>
              </w:rPr>
              <w:fldChar w:fldCharType="begin"/>
            </w:r>
            <w:r>
              <w:rPr>
                <w:noProof/>
                <w:webHidden/>
              </w:rPr>
              <w:instrText xml:space="preserve"> PAGEREF _Toc29194320 \h </w:instrText>
            </w:r>
            <w:r>
              <w:rPr>
                <w:noProof/>
                <w:webHidden/>
              </w:rPr>
            </w:r>
            <w:r>
              <w:rPr>
                <w:noProof/>
                <w:webHidden/>
              </w:rPr>
              <w:fldChar w:fldCharType="separate"/>
            </w:r>
            <w:r>
              <w:rPr>
                <w:noProof/>
                <w:webHidden/>
              </w:rPr>
              <w:t>3</w:t>
            </w:r>
            <w:r>
              <w:rPr>
                <w:noProof/>
                <w:webHidden/>
              </w:rPr>
              <w:fldChar w:fldCharType="end"/>
            </w:r>
          </w:hyperlink>
        </w:p>
        <w:p w:rsidR="008C6394" w:rsidRDefault="008C6394">
          <w:pPr>
            <w:pStyle w:val="TOC3"/>
            <w:tabs>
              <w:tab w:val="right" w:leader="dot" w:pos="9350"/>
            </w:tabs>
            <w:rPr>
              <w:rFonts w:eastAsiaTheme="minorEastAsia"/>
              <w:noProof/>
            </w:rPr>
          </w:pPr>
          <w:hyperlink w:anchor="_Toc29194321" w:history="1">
            <w:r w:rsidRPr="001458C1">
              <w:rPr>
                <w:rStyle w:val="Hyperlink"/>
                <w:noProof/>
              </w:rPr>
              <w:t>MINAP-specific</w:t>
            </w:r>
            <w:r>
              <w:rPr>
                <w:noProof/>
                <w:webHidden/>
              </w:rPr>
              <w:tab/>
            </w:r>
            <w:r>
              <w:rPr>
                <w:noProof/>
                <w:webHidden/>
              </w:rPr>
              <w:fldChar w:fldCharType="begin"/>
            </w:r>
            <w:r>
              <w:rPr>
                <w:noProof/>
                <w:webHidden/>
              </w:rPr>
              <w:instrText xml:space="preserve"> PAGEREF _Toc29194321 \h </w:instrText>
            </w:r>
            <w:r>
              <w:rPr>
                <w:noProof/>
                <w:webHidden/>
              </w:rPr>
            </w:r>
            <w:r>
              <w:rPr>
                <w:noProof/>
                <w:webHidden/>
              </w:rPr>
              <w:fldChar w:fldCharType="separate"/>
            </w:r>
            <w:r>
              <w:rPr>
                <w:noProof/>
                <w:webHidden/>
              </w:rPr>
              <w:t>4</w:t>
            </w:r>
            <w:r>
              <w:rPr>
                <w:noProof/>
                <w:webHidden/>
              </w:rPr>
              <w:fldChar w:fldCharType="end"/>
            </w:r>
          </w:hyperlink>
        </w:p>
        <w:p w:rsidR="00456C64" w:rsidRDefault="00456C64" w:rsidP="00456C64">
          <w:r>
            <w:rPr>
              <w:b/>
              <w:bCs/>
              <w:noProof/>
            </w:rPr>
            <w:fldChar w:fldCharType="end"/>
          </w:r>
        </w:p>
      </w:sdtContent>
    </w:sdt>
    <w:p w:rsidR="004F26B3" w:rsidRDefault="004F26B3" w:rsidP="006C6956">
      <w:pPr>
        <w:pStyle w:val="Heading2"/>
      </w:pPr>
    </w:p>
    <w:p w:rsidR="00456C64" w:rsidRDefault="006C6956" w:rsidP="006C6956">
      <w:pPr>
        <w:pStyle w:val="Heading2"/>
      </w:pPr>
      <w:bookmarkStart w:id="2" w:name="_Toc29194317"/>
      <w:r>
        <w:t>Introduction</w:t>
      </w:r>
      <w:bookmarkEnd w:id="2"/>
    </w:p>
    <w:p w:rsidR="006C6956" w:rsidRPr="006C6956" w:rsidRDefault="006C6956" w:rsidP="006C6956">
      <w:r w:rsidRPr="006C6956">
        <w:t>T</w:t>
      </w:r>
      <w:r w:rsidRPr="006C6956">
        <w:t xml:space="preserve">he </w:t>
      </w:r>
      <w:proofErr w:type="spellStart"/>
      <w:r w:rsidRPr="006C6956">
        <w:t>Qua</w:t>
      </w:r>
      <w:r>
        <w:t>lDash</w:t>
      </w:r>
      <w:proofErr w:type="spellEnd"/>
      <w:r>
        <w:t xml:space="preserve"> project is</w:t>
      </w:r>
      <w:r w:rsidRPr="006C6956">
        <w:t xml:space="preserve"> designing and evaluating an interactive dashboard to improve quality of care. This document contains the release notes for </w:t>
      </w:r>
      <w:proofErr w:type="spellStart"/>
      <w:r w:rsidRPr="006C6956">
        <w:t>QualDash</w:t>
      </w:r>
      <w:proofErr w:type="spellEnd"/>
      <w:r w:rsidRPr="006C6956">
        <w:t xml:space="preserve"> version 2.0, which has been enhanced from version 1.0 (***release date</w:t>
      </w:r>
      <w:r>
        <w:t>: 06.01.2020</w:t>
      </w:r>
      <w:r w:rsidRPr="006C6956">
        <w:t xml:space="preserve">***) following feedback from five NHS Trusts. The project is funded by the National Institute for Health Research (NIHR) Health Services &amp; Delivery Research (HS&amp;DR) </w:t>
      </w:r>
      <w:proofErr w:type="spellStart"/>
      <w:r w:rsidRPr="006C6956">
        <w:t>Programme</w:t>
      </w:r>
      <w:proofErr w:type="spellEnd"/>
      <w:r w:rsidRPr="006C6956">
        <w:t xml:space="preserve"> (project number 16/04/06)</w:t>
      </w:r>
      <w:r>
        <w:t>.</w:t>
      </w:r>
    </w:p>
    <w:p w:rsidR="006C6956" w:rsidRDefault="006C6956" w:rsidP="006C6956">
      <w:pPr>
        <w:pStyle w:val="Heading2"/>
      </w:pPr>
      <w:bookmarkStart w:id="3" w:name="_Toc29194318"/>
      <w:r>
        <w:t xml:space="preserve">What’s new in </w:t>
      </w:r>
      <w:proofErr w:type="spellStart"/>
      <w:r>
        <w:t>QualDash</w:t>
      </w:r>
      <w:proofErr w:type="spellEnd"/>
      <w:r>
        <w:t xml:space="preserve"> 2.0</w:t>
      </w:r>
      <w:bookmarkEnd w:id="3"/>
    </w:p>
    <w:p w:rsidR="00BF3C26" w:rsidRDefault="00BF3C26" w:rsidP="006C6956">
      <w:pPr>
        <w:pStyle w:val="Heading3"/>
      </w:pPr>
      <w:bookmarkStart w:id="4" w:name="_Toc29194319"/>
      <w:r>
        <w:t>Non audit-specific</w:t>
      </w:r>
      <w:bookmarkEnd w:id="4"/>
    </w:p>
    <w:p w:rsidR="00B22E91" w:rsidRDefault="00B22E91" w:rsidP="00B22E91">
      <w:pPr>
        <w:pStyle w:val="ListParagraph"/>
      </w:pPr>
    </w:p>
    <w:p w:rsidR="00B22E91" w:rsidRDefault="00B22E91" w:rsidP="00B22E91">
      <w:pPr>
        <w:pStyle w:val="ListParagraph"/>
        <w:numPr>
          <w:ilvl w:val="0"/>
          <w:numId w:val="1"/>
        </w:numPr>
      </w:pPr>
      <w:r>
        <w:t>Card information, including the last recorded event for a specific metric, is displayed upon hovering the mouse on the card title</w:t>
      </w:r>
      <w:r w:rsidR="007D2C43">
        <w:t>.</w:t>
      </w:r>
    </w:p>
    <w:p w:rsidR="00B22E91" w:rsidRDefault="00B22E91" w:rsidP="00B22E91">
      <w:pPr>
        <w:pStyle w:val="ListParagraph"/>
      </w:pPr>
    </w:p>
    <w:p w:rsidR="00B22E91" w:rsidRDefault="00B22E91" w:rsidP="00B22E91">
      <w:pPr>
        <w:pStyle w:val="ListParagraph"/>
      </w:pPr>
      <w:r>
        <w:rPr>
          <w:noProof/>
        </w:rPr>
        <w:lastRenderedPageBreak/>
        <w:drawing>
          <wp:inline distT="0" distB="0" distL="0" distR="0" wp14:anchorId="2139EC0F" wp14:editId="6D24D7F6">
            <wp:extent cx="5919216" cy="26212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5" t="11487" r="610" b="10105"/>
                    <a:stretch/>
                  </pic:blipFill>
                  <pic:spPr bwMode="auto">
                    <a:xfrm>
                      <a:off x="0" y="0"/>
                      <a:ext cx="5919470" cy="262139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B22E91" w:rsidRDefault="00B22E91" w:rsidP="00B22E91">
      <w:pPr>
        <w:ind w:left="360"/>
      </w:pPr>
    </w:p>
    <w:p w:rsidR="00B22E91" w:rsidRDefault="00B22E91" w:rsidP="00B22E91">
      <w:pPr>
        <w:pStyle w:val="ListParagraph"/>
        <w:numPr>
          <w:ilvl w:val="0"/>
          <w:numId w:val="1"/>
        </w:numPr>
      </w:pPr>
      <w:r>
        <w:t xml:space="preserve">The history sub-view has an improved color scheme: the point </w:t>
      </w:r>
      <w:proofErr w:type="spellStart"/>
      <w:r>
        <w:t>colour</w:t>
      </w:r>
      <w:proofErr w:type="spellEnd"/>
      <w:r>
        <w:t xml:space="preserve"> matches the </w:t>
      </w:r>
      <w:proofErr w:type="spellStart"/>
      <w:r>
        <w:t>colour</w:t>
      </w:r>
      <w:proofErr w:type="spellEnd"/>
      <w:r>
        <w:t xml:space="preserve"> of the corresponding bars in the main view for the variable shown in the history sub-view. </w:t>
      </w:r>
    </w:p>
    <w:p w:rsidR="00B22E91" w:rsidRDefault="00B22E91" w:rsidP="00B22E91">
      <w:pPr>
        <w:pStyle w:val="ListParagraph"/>
      </w:pPr>
    </w:p>
    <w:p w:rsidR="00B22E91" w:rsidRDefault="00B22E91" w:rsidP="00B22E91">
      <w:pPr>
        <w:pStyle w:val="ListParagraph"/>
        <w:numPr>
          <w:ilvl w:val="0"/>
          <w:numId w:val="1"/>
        </w:numPr>
      </w:pPr>
      <w:r>
        <w:t xml:space="preserve">The history sub-view also an improved pattern: the solid line always represents data for the year which is currently loaded in the dashboard. All historic data (i.e. previous years) are shown as dashed lines with varying patterns. </w:t>
      </w:r>
    </w:p>
    <w:p w:rsidR="00B22E91" w:rsidRDefault="00B22E91" w:rsidP="00B22E91">
      <w:pPr>
        <w:pStyle w:val="ListParagraph"/>
      </w:pPr>
    </w:p>
    <w:p w:rsidR="00B22E91" w:rsidRDefault="00BF3C26" w:rsidP="00B22E91">
      <w:pPr>
        <w:pStyle w:val="ListParagraph"/>
        <w:numPr>
          <w:ilvl w:val="0"/>
          <w:numId w:val="1"/>
        </w:numPr>
      </w:pPr>
      <w:r>
        <w:t>The aggregation rule used in the quantities sub-view is moved from the axis label (which was cluttered by the ticks on the y-axis previously) to the header of the tab that contains the view. The example in the figure shows the word “(aggregate)” appended to the name of the variable to re</w:t>
      </w:r>
      <w:r w:rsidR="00B22E91">
        <w:t>veal what is shown in the view.</w:t>
      </w:r>
    </w:p>
    <w:p w:rsidR="00B22E91" w:rsidRDefault="00B22E91" w:rsidP="00B22E91">
      <w:pPr>
        <w:pStyle w:val="ListParagraph"/>
      </w:pPr>
    </w:p>
    <w:p w:rsidR="00B22E91" w:rsidRPr="00FA7D40" w:rsidRDefault="00B22E91" w:rsidP="00B22E91">
      <w:pPr>
        <w:pStyle w:val="ListParagraph"/>
      </w:pPr>
    </w:p>
    <w:p w:rsidR="00BF3C26" w:rsidRDefault="00BF3C26" w:rsidP="00BF3C26">
      <w:pPr>
        <w:pStyle w:val="ListParagraph"/>
        <w:numPr>
          <w:ilvl w:val="0"/>
          <w:numId w:val="1"/>
        </w:numPr>
      </w:pPr>
      <w:r w:rsidRPr="00214547">
        <w:rPr>
          <w:b/>
          <w:bCs/>
          <w:color w:val="FF0000"/>
        </w:rPr>
        <w:t>Bug fix:</w:t>
      </w:r>
      <w:r>
        <w:t xml:space="preserve"> The save button used to include a black area when saving visualizations that include line charts. This is now fixed. An example is shown below for a PMG file saved before and after the fix. </w:t>
      </w:r>
    </w:p>
    <w:p w:rsidR="00BF3C26" w:rsidRDefault="00BF3C26" w:rsidP="00BF3C26">
      <w:pPr>
        <w:pStyle w:val="ListParagraph"/>
      </w:pPr>
    </w:p>
    <w:p w:rsidR="00BF3C26" w:rsidRDefault="00BF3C26" w:rsidP="00BF3C26"/>
    <w:p w:rsidR="00BF3C26" w:rsidRDefault="00BF3C26" w:rsidP="00BF3C26">
      <w:r>
        <w:rPr>
          <w:noProof/>
        </w:rPr>
        <w:drawing>
          <wp:anchor distT="0" distB="0" distL="114300" distR="114300" simplePos="0" relativeHeight="251665408" behindDoc="0" locked="0" layoutInCell="1" allowOverlap="1" wp14:anchorId="3A5D03FE" wp14:editId="1D6EEE28">
            <wp:simplePos x="0" y="0"/>
            <wp:positionH relativeFrom="column">
              <wp:posOffset>-267970</wp:posOffset>
            </wp:positionH>
            <wp:positionV relativeFrom="paragraph">
              <wp:posOffset>205105</wp:posOffset>
            </wp:positionV>
            <wp:extent cx="3199130" cy="2183130"/>
            <wp:effectExtent l="0" t="0" r="127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rtality and Alive Discharges (5).png"/>
                    <pic:cNvPicPr/>
                  </pic:nvPicPr>
                  <pic:blipFill>
                    <a:blip r:embed="rId7">
                      <a:extLst>
                        <a:ext uri="{28A0092B-C50C-407E-A947-70E740481C1C}">
                          <a14:useLocalDpi xmlns:a14="http://schemas.microsoft.com/office/drawing/2010/main" val="0"/>
                        </a:ext>
                      </a:extLst>
                    </a:blip>
                    <a:stretch>
                      <a:fillRect/>
                    </a:stretch>
                  </pic:blipFill>
                  <pic:spPr>
                    <a:xfrm>
                      <a:off x="0" y="0"/>
                      <a:ext cx="3199130" cy="21831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3B347ED" wp14:editId="4FDB2F4E">
            <wp:simplePos x="0" y="0"/>
            <wp:positionH relativeFrom="margin">
              <wp:posOffset>3099435</wp:posOffset>
            </wp:positionH>
            <wp:positionV relativeFrom="paragraph">
              <wp:posOffset>194945</wp:posOffset>
            </wp:positionV>
            <wp:extent cx="3271520" cy="223266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rtality and Alive Discharges (6).png"/>
                    <pic:cNvPicPr/>
                  </pic:nvPicPr>
                  <pic:blipFill>
                    <a:blip r:embed="rId8">
                      <a:extLst>
                        <a:ext uri="{28A0092B-C50C-407E-A947-70E740481C1C}">
                          <a14:useLocalDpi xmlns:a14="http://schemas.microsoft.com/office/drawing/2010/main" val="0"/>
                        </a:ext>
                      </a:extLst>
                    </a:blip>
                    <a:stretch>
                      <a:fillRect/>
                    </a:stretch>
                  </pic:blipFill>
                  <pic:spPr>
                    <a:xfrm>
                      <a:off x="0" y="0"/>
                      <a:ext cx="3271520" cy="2232660"/>
                    </a:xfrm>
                    <a:prstGeom prst="rect">
                      <a:avLst/>
                    </a:prstGeom>
                  </pic:spPr>
                </pic:pic>
              </a:graphicData>
            </a:graphic>
            <wp14:sizeRelH relativeFrom="margin">
              <wp14:pctWidth>0</wp14:pctWidth>
            </wp14:sizeRelH>
            <wp14:sizeRelV relativeFrom="margin">
              <wp14:pctHeight>0</wp14:pctHeight>
            </wp14:sizeRelV>
          </wp:anchor>
        </w:drawing>
      </w:r>
    </w:p>
    <w:p w:rsidR="00BF3C26" w:rsidRDefault="00BF3C26" w:rsidP="00FA7D40"/>
    <w:p w:rsidR="00BF3C26" w:rsidRDefault="00456C64" w:rsidP="00456C64">
      <w:pPr>
        <w:pStyle w:val="ListParagraph"/>
        <w:numPr>
          <w:ilvl w:val="0"/>
          <w:numId w:val="1"/>
        </w:numPr>
      </w:pPr>
      <w:r>
        <w:t xml:space="preserve">Help and documentation can now be accessed via a new tab in </w:t>
      </w:r>
      <w:proofErr w:type="spellStart"/>
      <w:r>
        <w:t>QualDash</w:t>
      </w:r>
      <w:proofErr w:type="spellEnd"/>
      <w:r w:rsidR="00F07C9B">
        <w:t>:</w:t>
      </w:r>
    </w:p>
    <w:p w:rsidR="00F07C9B" w:rsidRDefault="00F07C9B" w:rsidP="00F07C9B">
      <w:pPr>
        <w:pStyle w:val="ListParagraph"/>
      </w:pPr>
    </w:p>
    <w:p w:rsidR="00F07C9B" w:rsidRDefault="00F07C9B" w:rsidP="00F07C9B">
      <w:pPr>
        <w:pStyle w:val="ListParagraph"/>
      </w:pPr>
      <w:r>
        <w:rPr>
          <w:noProof/>
        </w:rPr>
        <w:drawing>
          <wp:inline distT="0" distB="0" distL="0" distR="0" wp14:anchorId="03C6DF7B" wp14:editId="585E96CD">
            <wp:extent cx="5949696" cy="28773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194" r="-106" b="9740"/>
                    <a:stretch/>
                  </pic:blipFill>
                  <pic:spPr bwMode="auto">
                    <a:xfrm>
                      <a:off x="0" y="0"/>
                      <a:ext cx="5949932" cy="2877426"/>
                    </a:xfrm>
                    <a:prstGeom prst="rect">
                      <a:avLst/>
                    </a:prstGeom>
                    <a:ln>
                      <a:noFill/>
                    </a:ln>
                    <a:extLst>
                      <a:ext uri="{53640926-AAD7-44D8-BBD7-CCE9431645EC}">
                        <a14:shadowObscured xmlns:a14="http://schemas.microsoft.com/office/drawing/2010/main"/>
                      </a:ext>
                    </a:extLst>
                  </pic:spPr>
                </pic:pic>
              </a:graphicData>
            </a:graphic>
          </wp:inline>
        </w:drawing>
      </w:r>
    </w:p>
    <w:p w:rsidR="00456C64" w:rsidRDefault="00456C64" w:rsidP="00456C64"/>
    <w:p w:rsidR="00456C64" w:rsidRDefault="00456C64">
      <w:pPr>
        <w:rPr>
          <w:rFonts w:asciiTheme="majorHAnsi" w:eastAsiaTheme="majorEastAsia" w:hAnsiTheme="majorHAnsi" w:cstheme="majorBidi"/>
          <w:color w:val="2F5496" w:themeColor="accent1" w:themeShade="BF"/>
          <w:sz w:val="26"/>
          <w:szCs w:val="26"/>
        </w:rPr>
      </w:pPr>
    </w:p>
    <w:p w:rsidR="006420F9" w:rsidRDefault="006420F9" w:rsidP="006C6956">
      <w:pPr>
        <w:pStyle w:val="Heading3"/>
      </w:pPr>
      <w:bookmarkStart w:id="5" w:name="_Toc29194320"/>
      <w:proofErr w:type="spellStart"/>
      <w:r>
        <w:t>Picanet</w:t>
      </w:r>
      <w:proofErr w:type="spellEnd"/>
      <w:r>
        <w:t>-specific</w:t>
      </w:r>
      <w:bookmarkEnd w:id="5"/>
    </w:p>
    <w:p w:rsidR="00BF3C26" w:rsidRPr="00BF3C26" w:rsidRDefault="00BF3C26" w:rsidP="00BF3C26"/>
    <w:p w:rsidR="00062E51" w:rsidRDefault="00062E51" w:rsidP="00062E51">
      <w:pPr>
        <w:pStyle w:val="ListParagraph"/>
        <w:numPr>
          <w:ilvl w:val="0"/>
          <w:numId w:val="1"/>
        </w:numPr>
      </w:pPr>
      <w:r>
        <w:t xml:space="preserve">The calculation of SMR is no longer hard-coded in the </w:t>
      </w:r>
      <w:proofErr w:type="spellStart"/>
      <w:r>
        <w:t>QualDash</w:t>
      </w:r>
      <w:proofErr w:type="spellEnd"/>
      <w:r>
        <w:t xml:space="preserve"> software. SMR is now calculated using a trusted R package which is included in the R script for </w:t>
      </w:r>
      <w:proofErr w:type="spellStart"/>
      <w:r>
        <w:t>Picanet</w:t>
      </w:r>
      <w:proofErr w:type="spellEnd"/>
      <w:r>
        <w:t xml:space="preserve"> (this allows us to also include confidence intervals if n</w:t>
      </w:r>
      <w:r w:rsidR="006420F9">
        <w:t>eeded but they are currently not</w:t>
      </w:r>
      <w:r>
        <w:t xml:space="preserve"> included). </w:t>
      </w:r>
    </w:p>
    <w:p w:rsidR="00FA7D40" w:rsidRDefault="00FA7D40" w:rsidP="00FA7D40">
      <w:pPr>
        <w:pStyle w:val="ListParagraph"/>
      </w:pPr>
    </w:p>
    <w:p w:rsidR="00062E51" w:rsidRDefault="00062E51" w:rsidP="00062E51">
      <w:pPr>
        <w:pStyle w:val="ListParagraph"/>
        <w:numPr>
          <w:ilvl w:val="0"/>
          <w:numId w:val="1"/>
        </w:numPr>
      </w:pPr>
      <w:r>
        <w:t>Deaths are shown in the months in which they occurred. This is done by removing the admissions information from this card and keeping only the number of alive discharges and deaths in each month. This design decision was made after a few rounds of discussion wi</w:t>
      </w:r>
      <w:r w:rsidR="006420F9">
        <w:t xml:space="preserve">th members of the </w:t>
      </w:r>
      <w:proofErr w:type="spellStart"/>
      <w:r w:rsidR="006420F9">
        <w:t>Picanet</w:t>
      </w:r>
      <w:proofErr w:type="spellEnd"/>
      <w:r w:rsidR="006420F9">
        <w:t xml:space="preserve"> team</w:t>
      </w:r>
      <w:r>
        <w:t xml:space="preserve">. </w:t>
      </w:r>
    </w:p>
    <w:p w:rsidR="00FA7D40" w:rsidRDefault="00FA7D40" w:rsidP="00FA7D40">
      <w:pPr>
        <w:pStyle w:val="ListParagraph"/>
      </w:pPr>
    </w:p>
    <w:p w:rsidR="00062E51" w:rsidRDefault="00062E51" w:rsidP="00062E51">
      <w:pPr>
        <w:pStyle w:val="ListParagraph"/>
        <w:numPr>
          <w:ilvl w:val="0"/>
          <w:numId w:val="1"/>
        </w:numPr>
      </w:pPr>
      <w:r>
        <w:t>The SMR curve is color-coded as a gradient (everything &gt;= 1.0 is shown in red)</w:t>
      </w:r>
    </w:p>
    <w:p w:rsidR="00FA7D40" w:rsidRDefault="00FA7D40" w:rsidP="00FA7D40">
      <w:pPr>
        <w:pStyle w:val="ListParagraph"/>
      </w:pPr>
    </w:p>
    <w:p w:rsidR="00062E51" w:rsidRDefault="00062E51" w:rsidP="00062E51">
      <w:pPr>
        <w:pStyle w:val="ListParagraph"/>
        <w:numPr>
          <w:ilvl w:val="0"/>
          <w:numId w:val="1"/>
        </w:numPr>
      </w:pPr>
      <w:r>
        <w:t xml:space="preserve">The quantities sub-view now supports values that are extremely small. The example shown in the figure shows the average of PIM3 in each month which. We round small numbers up to the third decimal position. </w:t>
      </w:r>
    </w:p>
    <w:p w:rsidR="00FA7D40" w:rsidRDefault="006420F9" w:rsidP="00FA7D40">
      <w:pPr>
        <w:pStyle w:val="ListParagraph"/>
      </w:pPr>
      <w:r>
        <w:rPr>
          <w:noProof/>
        </w:rPr>
        <w:drawing>
          <wp:anchor distT="0" distB="0" distL="114300" distR="114300" simplePos="0" relativeHeight="251662336" behindDoc="0" locked="0" layoutInCell="1" allowOverlap="1" wp14:anchorId="6D037FD1" wp14:editId="3A4B55BC">
            <wp:simplePos x="0" y="0"/>
            <wp:positionH relativeFrom="page">
              <wp:posOffset>1328928</wp:posOffset>
            </wp:positionH>
            <wp:positionV relativeFrom="paragraph">
              <wp:posOffset>177419</wp:posOffset>
            </wp:positionV>
            <wp:extent cx="5815013" cy="386321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15013" cy="3863215"/>
                    </a:xfrm>
                    <a:prstGeom prst="rect">
                      <a:avLst/>
                    </a:prstGeom>
                  </pic:spPr>
                </pic:pic>
              </a:graphicData>
            </a:graphic>
            <wp14:sizeRelH relativeFrom="margin">
              <wp14:pctWidth>0</wp14:pctWidth>
            </wp14:sizeRelH>
            <wp14:sizeRelV relativeFrom="margin">
              <wp14:pctHeight>0</wp14:pctHeight>
            </wp14:sizeRelV>
          </wp:anchor>
        </w:drawing>
      </w:r>
    </w:p>
    <w:p w:rsidR="006420F9" w:rsidRDefault="006420F9" w:rsidP="00FA7D40">
      <w:pPr>
        <w:pStyle w:val="ListParagraph"/>
      </w:pPr>
    </w:p>
    <w:p w:rsidR="006420F9" w:rsidRDefault="006420F9" w:rsidP="006420F9">
      <w:pPr>
        <w:pStyle w:val="ListParagraph"/>
      </w:pPr>
    </w:p>
    <w:p w:rsidR="006420F9" w:rsidRDefault="006420F9" w:rsidP="006420F9">
      <w:pPr>
        <w:pStyle w:val="ListParagraph"/>
      </w:pPr>
    </w:p>
    <w:p w:rsidR="006420F9" w:rsidRPr="00456C64" w:rsidRDefault="006420F9" w:rsidP="006C6956">
      <w:pPr>
        <w:pStyle w:val="Heading3"/>
      </w:pPr>
      <w:bookmarkStart w:id="6" w:name="_Toc29194321"/>
      <w:r>
        <w:t>MINAP-specific</w:t>
      </w:r>
      <w:bookmarkEnd w:id="6"/>
    </w:p>
    <w:p w:rsidR="006420F9" w:rsidRDefault="006420F9" w:rsidP="006420F9"/>
    <w:p w:rsidR="00456C64" w:rsidRDefault="00456C64" w:rsidP="00456C64">
      <w:pPr>
        <w:pStyle w:val="ListParagraph"/>
        <w:numPr>
          <w:ilvl w:val="0"/>
          <w:numId w:val="1"/>
        </w:numPr>
      </w:pPr>
      <w:r>
        <w:t xml:space="preserve">Financial year data can now be displayed by selecting the corresponding time frame from the </w:t>
      </w:r>
      <w:proofErr w:type="spellStart"/>
      <w:r>
        <w:t>QualDash</w:t>
      </w:r>
      <w:proofErr w:type="spellEnd"/>
      <w:r>
        <w:t xml:space="preserve"> start page. </w:t>
      </w:r>
    </w:p>
    <w:p w:rsidR="00456C64" w:rsidRDefault="00456C64" w:rsidP="00456C64">
      <w:pPr>
        <w:pStyle w:val="ListParagraph"/>
      </w:pPr>
    </w:p>
    <w:p w:rsidR="00F07C9B" w:rsidRPr="006420F9" w:rsidRDefault="00F07C9B" w:rsidP="00456C64">
      <w:pPr>
        <w:pStyle w:val="ListParagraph"/>
      </w:pPr>
      <w:r>
        <w:rPr>
          <w:noProof/>
        </w:rPr>
        <mc:AlternateContent>
          <mc:Choice Requires="wps">
            <w:drawing>
              <wp:anchor distT="0" distB="0" distL="114300" distR="114300" simplePos="0" relativeHeight="251666432" behindDoc="0" locked="0" layoutInCell="1" allowOverlap="1">
                <wp:simplePos x="0" y="0"/>
                <wp:positionH relativeFrom="column">
                  <wp:posOffset>743712</wp:posOffset>
                </wp:positionH>
                <wp:positionV relativeFrom="paragraph">
                  <wp:posOffset>999744</wp:posOffset>
                </wp:positionV>
                <wp:extent cx="420624" cy="146304"/>
                <wp:effectExtent l="0" t="0" r="17780" b="25400"/>
                <wp:wrapNone/>
                <wp:docPr id="6" name="Oval 6"/>
                <wp:cNvGraphicFramePr/>
                <a:graphic xmlns:a="http://schemas.openxmlformats.org/drawingml/2006/main">
                  <a:graphicData uri="http://schemas.microsoft.com/office/word/2010/wordprocessingShape">
                    <wps:wsp>
                      <wps:cNvSpPr/>
                      <wps:spPr>
                        <a:xfrm>
                          <a:off x="0" y="0"/>
                          <a:ext cx="420624" cy="14630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5FBEAB" id="Oval 6" o:spid="_x0000_s1026" style="position:absolute;margin-left:58.55pt;margin-top:78.7pt;width:33.1pt;height:1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4f9kQIAAIIFAAAOAAAAZHJzL2Uyb0RvYy54bWysVN1r2zAQfx/sfxB6X+1kbraZOiW0ZAxK&#10;G9aOPiuyHAtknSYpcbK/fifJdsNa9jCWB+U+f/fhu7u6PnaKHIR1EnRFZxc5JUJzqKXeVfTH0/rD&#10;Z0qcZ7pmCrSo6Ek4er18/+6qN6WYQwuqFpYgiHZlbyraem/KLHO8FR1zF2CERmUDtmMeWbvLast6&#10;RO9UNs/zRdaDrY0FLpxD6W1S0mXEbxrB/UPTOOGJqijm5uNr47sNb7a8YuXOMtNKPqTB/iGLjkmN&#10;QSeoW+YZ2Vv5CqqT3IKDxl9w6DJoGslFrAGrmeV/VPPYMiNiLdgcZ6Y2uf8Hy+8PG0tkXdEFJZp1&#10;+IkeDkyRRehMb1yJBo9mYwfOIRnKPDa2C/9YADnGbp6mboqjJxyFxTxfzAtKOKpmxeJjXgTM7MXZ&#10;WOe/CuhIICoqlJLGhXpZyQ53zifr0SqINaylUihnpdLhdaBkHWSRsbvtjbIE86/oep3jb4h4Zobx&#10;g2sWakvVRMqflEiw30WD/cD85zGTOIligmWcC+1nSdWyWqRol+fBwuwGj1is0ggYkBvMcsIeAEbL&#10;BDJip7oH++Aq4iBPzvnfEkvOk0eMDNpPzp3UYN8CUFjVEDnZj01KrQld2kJ9wmmxkNbIGb6W+Onu&#10;mPMbZnFvcMPwFvgHfBoFfUVhoChpwf56Sx7scZxRS0mPe1hR93PPrKBEfdM46F9mRREWNzLF5ac5&#10;MvZcsz3X6H13A/j1Z3h1DI9ksPdqJBsL3TOejFWIiiqmOcauKPd2ZG58ug94dLhYraIZLqth/k4/&#10;Gh7AQ1fDXD4dn5k1w/x6HPx7GHf21Qwn2+CpYbX30Mg44C99HfqNix4HZzhK4ZKc89Hq5XQufwMA&#10;AP//AwBQSwMEFAAGAAgAAAAhABIl0fDdAAAACwEAAA8AAABkcnMvZG93bnJldi54bWxMj8FuwjAQ&#10;RO+V+AdrK/VSFSdAQ5rGQagShx6hlXpdYjeJaq+j2ED4+25OcJvRPs3OlJvRWXE2Q+g8KUjnCQhD&#10;tdcdNQq+v3YvOYgQkTRaT0bB1QTYVLOHEgvtL7Q350NsBIdQKFBBG2NfSBnq1jgMc98b4tuvHxxG&#10;tkMj9YAXDndWLpIkkw474g8t9uajNfXf4eQUbK8y2n142z3rjLIs/oRPtLlST4/j9h1ENGO8wTDV&#10;5+pQcaejP5EOwrJP1ymjLF7XKxATkS+XII6TSFYgq1Leb6j+AQAA//8DAFBLAQItABQABgAIAAAA&#10;IQC2gziS/gAAAOEBAAATAAAAAAAAAAAAAAAAAAAAAABbQ29udGVudF9UeXBlc10ueG1sUEsBAi0A&#10;FAAGAAgAAAAhADj9If/WAAAAlAEAAAsAAAAAAAAAAAAAAAAALwEAAF9yZWxzLy5yZWxzUEsBAi0A&#10;FAAGAAgAAAAhAC+Xh/2RAgAAggUAAA4AAAAAAAAAAAAAAAAALgIAAGRycy9lMm9Eb2MueG1sUEsB&#10;Ai0AFAAGAAgAAAAhABIl0fDdAAAACwEAAA8AAAAAAAAAAAAAAAAA6wQAAGRycy9kb3ducmV2Lnht&#10;bFBLBQYAAAAABAAEAPMAAAD1BQAAAAA=&#10;" filled="f" strokecolor="red" strokeweight="1pt">
                <v:stroke joinstyle="miter"/>
              </v:oval>
            </w:pict>
          </mc:Fallback>
        </mc:AlternateContent>
      </w:r>
      <w:r>
        <w:rPr>
          <w:noProof/>
        </w:rPr>
        <w:drawing>
          <wp:inline distT="0" distB="0" distL="0" distR="0" wp14:anchorId="4934C430" wp14:editId="735D3CF1">
            <wp:extent cx="5340096" cy="201777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564" t="25526" r="3583" b="14116"/>
                    <a:stretch/>
                  </pic:blipFill>
                  <pic:spPr bwMode="auto">
                    <a:xfrm>
                      <a:off x="0" y="0"/>
                      <a:ext cx="5340462" cy="2017914"/>
                    </a:xfrm>
                    <a:prstGeom prst="rect">
                      <a:avLst/>
                    </a:prstGeom>
                    <a:ln>
                      <a:noFill/>
                    </a:ln>
                    <a:extLst>
                      <a:ext uri="{53640926-AAD7-44D8-BBD7-CCE9431645EC}">
                        <a14:shadowObscured xmlns:a14="http://schemas.microsoft.com/office/drawing/2010/main"/>
                      </a:ext>
                    </a:extLst>
                  </pic:spPr>
                </pic:pic>
              </a:graphicData>
            </a:graphic>
          </wp:inline>
        </w:drawing>
      </w:r>
    </w:p>
    <w:sectPr w:rsidR="00F07C9B" w:rsidRPr="00642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1C72BB"/>
    <w:multiLevelType w:val="hybridMultilevel"/>
    <w:tmpl w:val="98B84070"/>
    <w:lvl w:ilvl="0" w:tplc="8C5409C8">
      <w:start w:val="2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51"/>
    <w:rsid w:val="00062E51"/>
    <w:rsid w:val="000C63FB"/>
    <w:rsid w:val="003E0842"/>
    <w:rsid w:val="00456C64"/>
    <w:rsid w:val="004F26B3"/>
    <w:rsid w:val="006420F9"/>
    <w:rsid w:val="006676E6"/>
    <w:rsid w:val="006C6956"/>
    <w:rsid w:val="007C1809"/>
    <w:rsid w:val="007D2C43"/>
    <w:rsid w:val="00870D79"/>
    <w:rsid w:val="008C6394"/>
    <w:rsid w:val="009E6E1C"/>
    <w:rsid w:val="00B22E91"/>
    <w:rsid w:val="00BF3C26"/>
    <w:rsid w:val="00CB13D0"/>
    <w:rsid w:val="00D17D95"/>
    <w:rsid w:val="00F07C9B"/>
    <w:rsid w:val="00FA7D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1CF99-E078-4E37-B9A8-EC8EB0A8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E51"/>
  </w:style>
  <w:style w:type="paragraph" w:styleId="Heading1">
    <w:name w:val="heading 1"/>
    <w:basedOn w:val="Normal"/>
    <w:next w:val="Normal"/>
    <w:link w:val="Heading1Char"/>
    <w:uiPriority w:val="9"/>
    <w:qFormat/>
    <w:rsid w:val="00FA7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9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2E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62E5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62E51"/>
    <w:pPr>
      <w:ind w:left="720"/>
      <w:contextualSpacing/>
    </w:pPr>
  </w:style>
  <w:style w:type="character" w:customStyle="1" w:styleId="Heading1Char">
    <w:name w:val="Heading 1 Char"/>
    <w:basedOn w:val="DefaultParagraphFont"/>
    <w:link w:val="Heading1"/>
    <w:uiPriority w:val="9"/>
    <w:rsid w:val="00FA7D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20F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56C64"/>
    <w:pPr>
      <w:outlineLvl w:val="9"/>
    </w:pPr>
  </w:style>
  <w:style w:type="paragraph" w:styleId="TOC1">
    <w:name w:val="toc 1"/>
    <w:basedOn w:val="Normal"/>
    <w:next w:val="Normal"/>
    <w:autoRedefine/>
    <w:uiPriority w:val="39"/>
    <w:unhideWhenUsed/>
    <w:rsid w:val="00456C64"/>
    <w:pPr>
      <w:spacing w:after="100"/>
    </w:pPr>
  </w:style>
  <w:style w:type="paragraph" w:styleId="TOC2">
    <w:name w:val="toc 2"/>
    <w:basedOn w:val="Normal"/>
    <w:next w:val="Normal"/>
    <w:autoRedefine/>
    <w:uiPriority w:val="39"/>
    <w:unhideWhenUsed/>
    <w:rsid w:val="00456C64"/>
    <w:pPr>
      <w:spacing w:after="100"/>
      <w:ind w:left="220"/>
    </w:pPr>
  </w:style>
  <w:style w:type="character" w:styleId="Hyperlink">
    <w:name w:val="Hyperlink"/>
    <w:basedOn w:val="DefaultParagraphFont"/>
    <w:uiPriority w:val="99"/>
    <w:unhideWhenUsed/>
    <w:rsid w:val="00456C64"/>
    <w:rPr>
      <w:color w:val="0563C1" w:themeColor="hyperlink"/>
      <w:u w:val="single"/>
    </w:rPr>
  </w:style>
  <w:style w:type="character" w:customStyle="1" w:styleId="Heading3Char">
    <w:name w:val="Heading 3 Char"/>
    <w:basedOn w:val="DefaultParagraphFont"/>
    <w:link w:val="Heading3"/>
    <w:uiPriority w:val="9"/>
    <w:rsid w:val="006C695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F26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CA93A-0E1F-4AC1-88BA-E03258948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5</Pages>
  <Words>484</Words>
  <Characters>2759</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QualDash 2.0 Release Notes </vt:lpstr>
      <vt:lpstr>    06.01.2020 </vt:lpstr>
      <vt:lpstr>    </vt:lpstr>
      <vt:lpstr>    Introduction</vt:lpstr>
      <vt:lpstr>    What’s new in QualDash 2.0</vt:lpstr>
      <vt:lpstr>        Non audit-specific</vt:lpstr>
      <vt:lpstr>        Picanet-specific</vt:lpstr>
      <vt:lpstr>        MINAP-specific</vt:lpstr>
    </vt:vector>
  </TitlesOfParts>
  <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El-Shehaly</dc:creator>
  <cp:keywords/>
  <dc:description/>
  <cp:lastModifiedBy>Mai El-Shehaly</cp:lastModifiedBy>
  <cp:revision>13</cp:revision>
  <cp:lastPrinted>2020-01-06T09:10:00Z</cp:lastPrinted>
  <dcterms:created xsi:type="dcterms:W3CDTF">2020-01-04T20:55:00Z</dcterms:created>
  <dcterms:modified xsi:type="dcterms:W3CDTF">2020-01-06T09:11:00Z</dcterms:modified>
</cp:coreProperties>
</file>