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TASK-002 — Upstream Feature Census — Executable Inventory</w:t>
      </w:r>
    </w:p>
    <w:p>
      <w:pPr>
        <w:jc w:val="center"/>
      </w:pPr>
      <w:r>
        <w:rPr>
          <w:b/>
          <w:color w:val="505F66"/>
          <w:sz w:val="24"/>
        </w:rPr>
        <w:t>Phase 0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تحويل الجرد البحثي إلى inventory machine-readable يحفظ كل كنوز upstream دون إدخالها إلى MVP.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أنشئ data/upstream-capabilities.yaml واحدًا فقط.</w:t>
      </w:r>
    </w:p>
    <w:p>
      <w:pPr>
        <w:pStyle w:val="ListNumber"/>
        <w:jc w:val="right"/>
        <w:bidi w:val="1"/>
      </w:pPr>
      <w:r>
        <w:t>لكل capability: source, source_url, status, genesis_decision, canonical_owner, notes, future_value.</w:t>
      </w:r>
    </w:p>
    <w:p>
      <w:pPr>
        <w:pStyle w:val="ListNumber"/>
        <w:jc w:val="right"/>
        <w:bidi w:val="1"/>
      </w:pPr>
      <w:r>
        <w:t>غط OpenBot/OpenMuse/OpenDots/CopilotKit Intelligence والميزات المؤجلة المهمة.</w:t>
      </w:r>
    </w:p>
    <w:p>
      <w:pPr>
        <w:pStyle w:val="ListNumber"/>
        <w:jc w:val="right"/>
        <w:bidi w:val="1"/>
      </w:pPr>
      <w:r>
        <w:t>تحقق من الروابط الحالية؛ لا تعتمد claims غير مثبتة.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Inventory قابل للبحث/الفلترة.</w:t>
      </w:r>
    </w:p>
    <w:p>
      <w:pPr>
        <w:pStyle w:val="ListBullet"/>
        <w:jc w:val="right"/>
        <w:bidi w:val="1"/>
      </w:pPr>
      <w:r>
        <w:t>لا capability مهمة معروفة مفقودة.</w:t>
      </w:r>
    </w:p>
    <w:p>
      <w:pPr>
        <w:pStyle w:val="ListBullet"/>
        <w:jc w:val="right"/>
        <w:bidi w:val="1"/>
      </w:pPr>
      <w:r>
        <w:t>تمييز shipped عن roadmap/experimental.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توليد كود من inventory.</w:t>
      </w:r>
    </w:p>
    <w:p>
      <w:pPr>
        <w:pStyle w:val="ListBullet"/>
        <w:jc w:val="right"/>
        <w:bidi w:val="1"/>
      </w:pPr>
      <w:r>
        <w:t>لا ملف لكل capability.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