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TASK-004 — Protocol &amp; Compatibility Probe</w:t>
      </w:r>
    </w:p>
    <w:p>
      <w:pPr>
        <w:jc w:val="center"/>
      </w:pPr>
      <w:r>
        <w:rPr>
          <w:b/>
          <w:color w:val="505F66"/>
          <w:sz w:val="24"/>
        </w:rPr>
        <w:t>Phase 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إثبات أن baselines AG-UI/MCP/A2A وruntime toolchains قابلة للاستخدام فعليًا قبل التصميم فوقها.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أنشئ PoCs صغيرة مؤقتة أو tests منفصلة للتحقق من SDK imports/versions.</w:t>
      </w:r>
    </w:p>
    <w:p>
      <w:pPr>
        <w:pStyle w:val="ListNumber"/>
        <w:jc w:val="right"/>
        <w:bidi w:val="1"/>
      </w:pPr>
      <w:r>
        <w:t>AG-UI: تحقق من schema/events المطلوبة.</w:t>
      </w:r>
    </w:p>
    <w:p>
      <w:pPr>
        <w:pStyle w:val="ListNumber"/>
        <w:jc w:val="right"/>
        <w:bidi w:val="1"/>
      </w:pPr>
      <w:r>
        <w:t>MCP: تحقق من official SDK baseline والاتصال بأبسط server/client محلي.</w:t>
      </w:r>
    </w:p>
    <w:p>
      <w:pPr>
        <w:pStyle w:val="ListNumber"/>
        <w:jc w:val="right"/>
        <w:bidi w:val="1"/>
      </w:pPr>
      <w:r>
        <w:t>A2A: تحقق من SDK/Agent Card/task basics فقط؛ لا integration داخل Genesis.</w:t>
      </w:r>
    </w:p>
    <w:p>
      <w:pPr>
        <w:pStyle w:val="ListNumber"/>
        <w:jc w:val="right"/>
        <w:bidi w:val="1"/>
      </w:pPr>
      <w:r>
        <w:t>تحقق Node/TypeScript baseline والتعايش مع OpenBot boundary.</w:t>
      </w:r>
    </w:p>
    <w:p>
      <w:pPr>
        <w:pStyle w:val="ListNumber"/>
        <w:jc w:val="right"/>
        <w:bidi w:val="1"/>
      </w:pPr>
      <w:r>
        <w:t>سجل incompatibilities وWATCH items، خصوصًا AG-UI↔A2A bridge.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protocol مصنف PASS/WATCH/DEFER.</w:t>
      </w:r>
    </w:p>
    <w:p>
      <w:pPr>
        <w:pStyle w:val="ListBullet"/>
        <w:jc w:val="right"/>
        <w:bidi w:val="1"/>
      </w:pPr>
      <w:r>
        <w:t>لا protocol code خاص بنا.</w:t>
      </w:r>
    </w:p>
    <w:p>
      <w:pPr>
        <w:pStyle w:val="ListBullet"/>
        <w:jc w:val="right"/>
        <w:bidi w:val="1"/>
      </w:pPr>
      <w:r>
        <w:t>PoCs قابلة للحذف بعد توثيق النتيجة.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A2A production integration.</w:t>
      </w:r>
    </w:p>
    <w:p>
      <w:pPr>
        <w:pStyle w:val="ListBullet"/>
        <w:jc w:val="right"/>
        <w:bidi w:val="1"/>
      </w:pPr>
      <w:r>
        <w:t>لا custom transport.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