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TASK-022 — Experiment 003 — Diagnostic Organization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إثبات اختلاف organization على مشكلة تشخيص صناعية/تقنية.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استخدم evidence set أو machine case.</w:t>
      </w:r>
    </w:p>
    <w:p>
      <w:pPr>
        <w:pStyle w:val="ListNumber"/>
        <w:jc w:val="right"/>
        <w:bidi w:val="1"/>
      </w:pPr>
      <w:r>
        <w:t>دع Genesis يحدد الباحث/المحقق/المراجع حسب الحاجة.</w:t>
      </w:r>
    </w:p>
    <w:p>
      <w:pPr>
        <w:pStyle w:val="ListNumber"/>
        <w:jc w:val="right"/>
        <w:bidi w:val="1"/>
      </w:pPr>
      <w:r>
        <w:t>أنتج diagnosis مع evidence/confidence/unknowns.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organization مختلفة بوضوح عن research/software.</w:t>
      </w:r>
    </w:p>
    <w:p>
      <w:pPr>
        <w:pStyle w:val="ListBullet"/>
        <w:jc w:val="right"/>
        <w:bidi w:val="1"/>
      </w:pPr>
      <w:r>
        <w:t>نتيجة قابلة للتحقق أو تعلن عدم اليقين.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force-fit coding workers.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