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TASK-025 — Learning Candidate Generator</w:t>
      </w:r>
    </w:p>
    <w:p>
      <w:pPr>
        <w:jc w:val="center"/>
      </w:pPr>
      <w:r>
        <w:rPr>
          <w:b/>
          <w:color w:val="505F66"/>
          <w:sz w:val="24"/>
        </w:rPr>
        <w:t>Phase 3 — Genesis Learns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استخراج اقتراحات تعلم تنظيمي من نتائج متعددة، لا من نجاح واحد.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استخدم metrics/statistics أولًا.</w:t>
      </w:r>
    </w:p>
    <w:p>
      <w:pPr>
        <w:pStyle w:val="ListNumber"/>
        <w:jc w:val="right"/>
        <w:bidi w:val="1"/>
      </w:pPr>
      <w:r>
        <w:t>LLM للتفسير فقط عند الحاجة.</w:t>
      </w:r>
    </w:p>
    <w:p>
      <w:pPr>
        <w:pStyle w:val="ListNumber"/>
        <w:jc w:val="right"/>
        <w:bidi w:val="1"/>
      </w:pPr>
      <w:r>
        <w:t>candidate يذكر evidence, scope, expected benefit, confidence.</w:t>
      </w:r>
    </w:p>
    <w:p>
      <w:pPr>
        <w:pStyle w:val="ListNumber"/>
        <w:jc w:val="right"/>
        <w:bidi w:val="1"/>
      </w:pPr>
      <w:r>
        <w:t>لا تعديل production behavior تلقائيًا.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candidate قابل للمراجعة.</w:t>
      </w:r>
    </w:p>
    <w:p>
      <w:pPr>
        <w:pStyle w:val="ListBullet"/>
        <w:jc w:val="right"/>
        <w:bidi w:val="1"/>
      </w:pPr>
      <w:r>
        <w:t>لا candidate بلا supporting missions.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promotion تلقائي.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