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TASK-036 — Protocol Federation — A2A When Justified</w:t>
      </w:r>
    </w:p>
    <w:p>
      <w:pPr>
        <w:jc w:val="center"/>
      </w:pPr>
      <w:r>
        <w:rPr>
          <w:b/>
          <w:color w:val="505F66"/>
          <w:sz w:val="24"/>
        </w:rPr>
        <w:t>Phase 5 — Production Readiness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إضافة A2A federation فقط بعد وجود use case لوكيل مستقل خارجي.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A2A 1.x official SDK.</w:t>
      </w:r>
    </w:p>
    <w:p>
      <w:pPr>
        <w:pStyle w:val="ListNumber"/>
        <w:jc w:val="right"/>
        <w:bidi w:val="1"/>
      </w:pPr>
      <w:r>
        <w:t>Agent Card/capability discovery/task semantics.</w:t>
      </w:r>
    </w:p>
    <w:p>
      <w:pPr>
        <w:pStyle w:val="ListNumber"/>
        <w:jc w:val="right"/>
        <w:bidi w:val="1"/>
      </w:pPr>
      <w:r>
        <w:t>اعزل AG-UI↔A2A bridge إن كان upstream compatibility غير مكتمل.</w:t>
      </w:r>
    </w:p>
    <w:p>
      <w:pPr>
        <w:pStyle w:val="ListNumber"/>
        <w:jc w:val="right"/>
        <w:bidi w:val="1"/>
      </w:pPr>
      <w:r>
        <w:t>contract tests ضد external test agent.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external independent agent يتعاون دون كشف internals.</w:t>
      </w:r>
    </w:p>
    <w:p>
      <w:pPr>
        <w:pStyle w:val="ListBullet"/>
        <w:jc w:val="right"/>
        <w:bidi w:val="1"/>
      </w:pPr>
      <w:r>
        <w:t>Genesis يعمل بدونه أيضًا.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استبدال internal simple messaging بـA2A بلا سبب.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