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TASK-039 — Final Benchmark &amp; Claims Review</w:t>
      </w:r>
    </w:p>
    <w:p>
      <w:pPr>
        <w:jc w:val="center"/>
      </w:pPr>
      <w:r>
        <w:rPr>
          <w:b/>
          <w:color w:val="505F66"/>
          <w:sz w:val="24"/>
        </w:rPr>
        <w:t>Phase 5 — Completion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تحديد ما يمكن قوله عن Genesis علميًا وهندسيًا بعد اكتمال التطوير.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rerun benchmark suite.</w:t>
      </w:r>
    </w:p>
    <w:p>
      <w:pPr>
        <w:pStyle w:val="ListNumber"/>
        <w:jc w:val="right"/>
        <w:bidi w:val="1"/>
      </w:pPr>
      <w:r>
        <w:t>single vs static vs Genesis.</w:t>
      </w:r>
    </w:p>
    <w:p>
      <w:pPr>
        <w:pStyle w:val="ListNumber"/>
        <w:jc w:val="right"/>
        <w:bidi w:val="1"/>
      </w:pPr>
      <w:r>
        <w:t>learning on/off where applicable.</w:t>
      </w:r>
    </w:p>
    <w:p>
      <w:pPr>
        <w:pStyle w:val="ListNumber"/>
        <w:jc w:val="right"/>
        <w:bidi w:val="1"/>
      </w:pPr>
      <w:r>
        <w:t>report wins/losses/failure modes.</w:t>
      </w:r>
    </w:p>
    <w:p>
      <w:pPr>
        <w:pStyle w:val="ListNumber"/>
        <w:jc w:val="right"/>
        <w:bidi w:val="1"/>
      </w:pPr>
      <w:r>
        <w:t>راجع claims: adaptive organization, organizational learning, transfer.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كل claim له evidence.</w:t>
      </w:r>
    </w:p>
    <w:p>
      <w:pPr>
        <w:pStyle w:val="ListBullet"/>
        <w:jc w:val="right"/>
        <w:bidi w:val="1"/>
      </w:pPr>
      <w:r>
        <w:t>أي claim غير مثبت يُحذف أو يخفف.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marketing overclaim.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