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Compact"/>
      </w:pPr>
    </w:p>
    <w:p>
      <w:pPr>
        <w:pStyle w:val="BodyText"/>
      </w:pPr>
    </w:p>
    <w:p>
      <w:pPr>
        <w:pStyle w:val="BodyText"/>
      </w:pPr>
    </w:p>
    <w:p>
      <w:pPr>
        <w:pStyle w:val="BodyText"/>
      </w:pPr>
    </w:p>
    <w:p>
      <w:pPr>
        <w:pStyle w:val="BodyText"/>
      </w:pPr>
      <w:r>
        <w:t xml:space="preserve">Mouse-tracking is a sophisticated tool for measuring rapid, dynamic cognitive processes in real time, particularly in experiments investigating competition between perceptual or cognitive categories. We provide user-friendly, open-source software (</w:t>
      </w:r>
      <w:r>
        <w:t xml:space="preserve">) for designing and analyzing such experiments online using the Qualtrics survey platform. The software consists of a Qualtrics template with embedded Javascript and CSS along with R code to clean, parse, and analyze the data. No special programming skills are required to use this software. We empirically validate the provided software by benchmarking its performance on previously tested stimuli in a standard category-competition experiment with realistic crowdsourced data collection.</w:t>
      </w:r>
    </w:p>
    <w:p>
      <w:pPr>
        <w:pStyle w:val="BodyText"/>
      </w:pPr>
    </w:p>
    <w:p>
      <w:pPr>
        <w:pStyle w:val="BodyText"/>
      </w:pPr>
      <w:r>
        <w:t xml:space="preserve">Capturing rapid, dynamic cognitive processes that may lie outside subjective awareness is a key methodological task in several realms of experimental psychology. One promising method for gaining insight into these processes is to analyze the trajectories of subjects’ mouse cursors as they complete experimental tasks</w:t>
      </w:r>
      <w:r>
        <w:t xml:space="preserve"> </w:t>
      </w:r>
      <w:r>
        <w:t xml:space="preserve">(Freeman &amp; Johnson, 2016)</w:t>
      </w:r>
      <w:r>
        <w:t xml:space="preserve">. For example, in tasks in which subjects must rapidly categorize stimuli (such as faces) into mutually exclusive, binary categories (such as</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the trajectories of subjects’ mouse cursors as they attempt to rapidly select a category button can serve as direct physical manifestations of cognitive competition between the categories. Stimuli that are difficult to categorize because they are intermediate between the two categories or are atypical exemplars of their category, such as gender-atypical faces, tend to produce mouse trajectories that differ markedly from those produced by stimuli falling clearly into one category</w:t>
      </w:r>
      <w:r>
        <w:t xml:space="preserve"> </w:t>
      </w:r>
      <w:r>
        <w:t xml:space="preserve">(Dale, Kehoe, &amp; Spivey, 2007; Freeman, Ambady, Rule, &amp; Johnson, 2008; Freeman, Pauker, &amp; Sanchez, 2016)</w:t>
      </w:r>
      <w:r>
        <w:t xml:space="preserve">. That is, the trajectories produced when subjects attempt to categorize ambiguous stimuli will tend to reflect the subjects’</w:t>
      </w:r>
      <w:r>
        <w:t xml:space="preserve"> </w:t>
      </w:r>
      <w:r>
        <w:t xml:space="preserve">“</w:t>
      </w:r>
      <w:r>
        <w:t xml:space="preserve">confusion</w:t>
      </w:r>
      <w:r>
        <w:t xml:space="preserve">”</w:t>
      </w:r>
      <w:r>
        <w:t xml:space="preserve"> </w:t>
      </w:r>
      <w:r>
        <w:t xml:space="preserve">and simultaneous or alternating attraction to both categories; these trajectories typically show more changes of direction and greater divergence from the most direct possible trajectory from the mouse cursor’s starting and ending positions. Mouse-tracking has been used to investigate category competition in diverse subdisciplines, including language processing</w:t>
      </w:r>
      <w:r>
        <w:t xml:space="preserve"> </w:t>
      </w:r>
      <w:r>
        <w:t xml:space="preserve">(Dale &amp; Duran, 2011; Farmer, Anderson, &amp; Spivey, 2007; Spivey, Grosjean, &amp; Knoblich, 2005)</w:t>
      </w:r>
      <w:r>
        <w:t xml:space="preserve">, social judgments of White versus Black faces</w:t>
      </w:r>
      <w:r>
        <w:t xml:space="preserve"> </w:t>
      </w:r>
      <w:r>
        <w:t xml:space="preserve">(Wojnowicz, Ferguson, Dale, &amp; Spivey, 2009; Yu, Wang, Wang, &amp; Bastin, 2012)</w:t>
      </w:r>
      <w:r>
        <w:t xml:space="preserve">, and social game theory</w:t>
      </w:r>
      <w:r>
        <w:t xml:space="preserve"> </w:t>
      </w:r>
      <w:r>
        <w:t xml:space="preserve">(Kieslich &amp; Hilbig, 2014)</w:t>
      </w:r>
      <w:r>
        <w:t xml:space="preserve">.</w:t>
      </w:r>
    </w:p>
    <w:p>
      <w:pPr>
        <w:pStyle w:val="BodyText"/>
      </w:pPr>
      <w:r>
        <w:t xml:space="preserve">Collecting reliable mouse trajectories that are comparable across subjects and trials requires precise control over the visual layout and timing of the experiment, as we will describe. Perhaps for this reason, mouse-tracking experiments to date have usually been conducted in person, with subjects physically present in the lab (with some exceptions, e.g.,</w:t>
      </w:r>
      <w:r>
        <w:t xml:space="preserve"> </w:t>
      </w:r>
      <w:r>
        <w:t xml:space="preserve">Freeman et al. (2016)</w:t>
      </w:r>
      <w:r>
        <w:t xml:space="preserve">). Such settings allow for a consistent visual presentation of the experiment through the use of existing mouse-tracking software</w:t>
      </w:r>
      <w:r>
        <w:t xml:space="preserve"> </w:t>
      </w:r>
      <w:r>
        <w:t xml:space="preserve">(Freeman &amp; Ambady, 2010; Kieslich &amp; Henninger, 2017)</w:t>
      </w:r>
      <w:r>
        <w:t xml:space="preserve">. In contrast, collecting mouse-tracking data online, for example through crowd-sourcing websites, could potentially allow for much larger samples, greater demographic diversity</w:t>
      </w:r>
      <w:r>
        <w:t xml:space="preserve"> </w:t>
      </w:r>
      <w:r>
        <w:t xml:space="preserve">(Gosling, Sandy, John, &amp; Potter, 2010)</w:t>
      </w:r>
      <w:r>
        <w:t xml:space="preserve">, and the possibility of implementing the same experiment in multiple collaborating labs without special hardware or software requirements. We are not aware of existing open-source software that is suitable for these settings, that can accommodate common experimental features such as presentation of multiple stimuli and randomization, and that ensures a consistent, validated experimental presentation even when subjects complete the experiments from their own computers.</w:t>
      </w:r>
    </w:p>
    <w:p>
      <w:pPr>
        <w:pStyle w:val="BodyText"/>
      </w:pPr>
      <w:r>
        <w:t xml:space="preserve">The present paper therefore provides open-source software enabling reliable and precise design of mouse-tracking experiments through the widely used software Qualtrics (Provo, UT, last accessed 10-2018), a graphical user interface that is designed for online data collection that interfaces easily with crowd-sourcing websites such as Amazon Mechanical Turk. Our software pipeline consists of: (1) a premade Qualtrics template containing embedded Javascript }and CSS that manages stimulus presentation, trains subjects on the experimental task, and collects mouse trajectory and time data; and (2) R code to clean, parse, and analyze the data. We present a validation study demonstrating consistent data collection even in relatively uncontrolled online settings and concurrent validity of our methods when benchmarked using previously tested stimuli.</w:t>
      </w:r>
    </w:p>
    <w:p>
      <w:pPr>
        <w:pStyle w:val="BodyText"/>
      </w:pPr>
      <w:r>
        <w:t xml:space="preserve">In a standard category-competition experiment, the subject views a series of stimuli presented sequentially on separate pages. The subject must categorize each stimulus by clicking on one of two buttons presented on the left and right sides of the window (Figure</w:t>
      </w:r>
      <w:r>
        <w:t xml:space="preserve"> </w:t>
      </w:r>
      <w:r>
        <w:t xml:space="preserve">). In our implementation, there is a 570-px horizontal distance between the category buttons and a 485-px vertical distance between the category buttons and the middle of the Next button. Stimuli are typically chosen such that some fall clearly into one category, while others are ambiguous or difficult to categorize. Ambiguous stimuli are thought to activate mental representation of both categories simultaneously, leading to dynamic competition that manifests in real time as unstable mouse dynamics</w:t>
      </w:r>
      <w:r>
        <w:t xml:space="preserve"> </w:t>
      </w:r>
      <w:r>
        <w:t xml:space="preserve">(Freeman &amp; Johnson, 2016)</w:t>
      </w:r>
      <w:r>
        <w:t xml:space="preserve">. That is, because the subject is continuously or alternately attracted to both categories, the mouse trajectory may contain frequent direction changes and may diverge substantially from a direct path from the start position to the location of the category button ultimately chosen.</w:t>
      </w:r>
    </w:p>
    <w:p>
      <w:pPr>
        <w:pStyle w:val="BodyText"/>
      </w:pPr>
      <w:r>
        <w:t xml:space="preserve">Specifically, past literature (e.g.,</w:t>
      </w:r>
      <w:r>
        <w:t xml:space="preserve"> </w:t>
      </w:r>
      <w:r>
        <w:t xml:space="preserve">Freeman et al. (2008)</w:t>
      </w:r>
      <w:r>
        <w:t xml:space="preserve">) has used several outcome measures to operationalize category competition through mouse dynamics. More ambiguous stimuli typically increase the number of times the subject’s mouse changes directions horizontally (</w:t>
      </w:r>
      <w:r>
        <w:t xml:space="preserve">). Additionally, compared to unambiguous stimuli, ambiguous stimuli tend to produce trajectories that diverge more from an</w:t>
      </w:r>
      <w:r>
        <w:t xml:space="preserve"> </w:t>
      </w:r>
      <w:r>
        <w:t xml:space="preserve">“</w:t>
      </w:r>
      <w:r>
        <w:t xml:space="preserve">ideal trajectory</w:t>
      </w:r>
      <w:r>
        <w:t xml:space="preserve">”</w:t>
      </w:r>
      <w:r>
        <w:t xml:space="preserve"> </w:t>
      </w:r>
      <w:r>
        <w:t xml:space="preserve">consisting of a straight line from the subject’s initial cursor position to the finally chosen radio button (Figure</w:t>
      </w:r>
      <w:r>
        <w:t xml:space="preserve"> </w:t>
      </w:r>
      <w:r>
        <w:t xml:space="preserve">, red dashed line). That is, the</w:t>
      </w:r>
      <w:r>
        <w:t xml:space="preserve"> </w:t>
      </w:r>
      <w:r>
        <w:t xml:space="preserve"> </w:t>
      </w:r>
      <w:r>
        <w:t xml:space="preserve">between the ideal trajectory and the subject’s actual trajectory (Figure</w:t>
      </w:r>
      <w:r>
        <w:t xml:space="preserve"> </w:t>
      </w:r>
      <w:r>
        <w:t xml:space="preserve">, red solid line), as well as the</w:t>
      </w:r>
      <w:r>
        <w:t xml:space="preserve"> </w:t>
      </w:r>
      <w:r>
        <w:t xml:space="preserve"> </w:t>
      </w:r>
      <w:r>
        <w:t xml:space="preserve">between the ideal and actual trajectories (Figure</w:t>
      </w:r>
      <w:r>
        <w:t xml:space="preserve"> </w:t>
      </w:r>
      <w:r>
        <w:t xml:space="preserve">, pink shading), are typically larger for ambiguous stimuli. Our implementation calculates these measures using trajectories rescaled to unit length in both the</w:t>
      </w:r>
      <w:r>
        <w:t xml:space="preserve"> </w:t>
      </w:r>
      <m:oMath>
        <m:r>
          <m:t>x</m:t>
        </m:r>
      </m:oMath>
      <w:r>
        <w:t xml:space="preserve">- and</w:t>
      </w:r>
      <w:r>
        <w:t xml:space="preserve"> </w:t>
      </w:r>
      <m:oMath>
        <m:r>
          <m:t>y</m:t>
        </m:r>
        <m:r>
          <m:t>−</m:t>
        </m:r>
      </m:oMath>
      <w:r>
        <w:t xml:space="preserve">dimensions and calculates the area using Riemann integration. Other outcome measures can include the</w:t>
      </w:r>
      <w:r>
        <w:t xml:space="preserve"> </w:t>
      </w:r>
      <w:r>
        <w:t xml:space="preserve"> </w:t>
      </w:r>
      <w:r>
        <w:t xml:space="preserve">of the subject’s cursor (ambiguous stimuli tend to produce higher maximum speeds, reflecting abrupt category shifts</w:t>
      </w:r>
      <w:r>
        <w:t xml:space="preserve"> </w:t>
      </w:r>
      <w:r>
        <w:t xml:space="preserve">(Freeman et al., 2016)</w:t>
      </w:r>
      <w:r>
        <w:t xml:space="preserve">) and the total reaction time for the trial (ambiguous stimuli tend to produce longer reaction times). We calculate reaction time as the time elapsed between the start of the trial, after the page is fully loaded, to the time at which the subject clicks on a button to categorize the stimulus. However, both maximum speed and reaction time have limitations and are perhaps best treated as secondary measures</w:t>
      </w:r>
      <w:r>
        <w:t xml:space="preserve"> </w:t>
      </w:r>
      <w:r>
        <w:t xml:space="preserve">(Freeman et al., 2016)</w:t>
      </w:r>
      <w:r>
        <w:t xml:space="preserve">.</w:t>
      </w:r>
    </w:p>
    <w:p>
      <w:pPr>
        <w:pStyle w:val="BodyText"/>
      </w:pPr>
      <w:r>
        <w:t xml:space="preserve">Our open-source software provides a user-friendly data collection and analysis pipeline for creating such experiments as follows. First, the user imports into Qualtrics a template questionnaire (</w:t>
      </w:r>
      <w:r>
        <w:t xml:space="preserve">) implementing the validation study presented below. The key feature are two question</w:t>
      </w:r>
      <w:r>
        <w:t xml:space="preserve"> </w:t>
      </w:r>
      <w:r>
        <w:t xml:space="preserve">“</w:t>
      </w:r>
      <w:r>
        <w:t xml:space="preserve">blocks</w:t>
      </w:r>
      <w:r>
        <w:t xml:space="preserve">”</w:t>
      </w:r>
      <w:r>
        <w:t xml:space="preserve"> </w:t>
      </w:r>
      <w:r>
        <w:t xml:space="preserve">that present the stimuli sequentially, in randomized order, via Qualtrics’</w:t>
      </w:r>
      <w:r>
        <w:t xml:space="preserve"> </w:t>
      </w:r>
      <w:r>
        <w:t xml:space="preserve">“</w:t>
      </w:r>
      <w:r>
        <w:t xml:space="preserve">Loop &amp; Merge</w:t>
      </w:r>
      <w:r>
        <w:t xml:space="preserve">”</w:t>
      </w:r>
      <w:r>
        <w:t xml:space="preserve"> </w:t>
      </w:r>
      <w:r>
        <w:t xml:space="preserve">feature; other blocks in the survey, such as a block of demographic questions, can be added or removed as needed. The image URLs in the Loop &amp; Merge can simply be edited through the Qualtrics interface to replace the default stimuli. The first block of the questionnaire shows instructions (Appendix Section</w:t>
      </w:r>
      <w:r>
        <w:t xml:space="preserve"> </w:t>
      </w:r>
      <w:r>
        <w:t xml:space="preserve">). Then the first Loop &amp; Merge block presents training stimuli to acclimitize the subject to the experiment, including to alert messages designed to optimize subject behavior for mouse-tracking (detailed in Section</w:t>
      </w:r>
      <w:r>
        <w:t xml:space="preserve"> </w:t>
      </w:r>
      <w:r>
        <w:t xml:space="preserve"> </w:t>
      </w:r>
      <w:r>
        <w:t xml:space="preserve">below). The second Loop &amp; Merge block of experimental stimuli begins data collection by activating mouse-tracking. The underlying Javascript that activates mouse-tracking</w:t>
      </w:r>
      <w:r>
        <w:t xml:space="preserve"> </w:t>
      </w:r>
      <w:r>
        <w:t xml:space="preserve">requires no modification except that global variables specifying the number of training stimuli</w:t>
      </w:r>
      <w:r>
        <w:t xml:space="preserve"> </w:t>
      </w:r>
      <w:r>
        <w:t xml:space="preserve"> </w:t>
      </w:r>
      <w:r>
        <w:t xml:space="preserve">(default is 6) and real experimental stimuli and</w:t>
      </w:r>
      <w:r>
        <w:t xml:space="preserve"> </w:t>
      </w:r>
      <w:r>
        <w:t xml:space="preserve"> </w:t>
      </w:r>
      <w:r>
        <w:t xml:space="preserve">(default is 10) must be changed to match the number of user-supplied stimuli. Additional parameters that the user can optionally change are listed in Table</w:t>
      </w:r>
      <w:r>
        <w:t xml:space="preserve"> </w:t>
      </w:r>
      <w:r>
        <w:t xml:space="preserve">. The Qualtrics template also contains (in the</w:t>
      </w:r>
      <w:r>
        <w:t xml:space="preserve"> </w:t>
      </w:r>
      <w:r>
        <w:t xml:space="preserve">“</w:t>
      </w:r>
      <w:r>
        <w:t xml:space="preserve">Look and Feel</w:t>
      </w:r>
      <w:r>
        <w:t xml:space="preserve">”</w:t>
      </w:r>
      <w:r>
        <w:t xml:space="preserve"> </w:t>
      </w:r>
      <w:r>
        <w:t xml:space="preserve">section accessible through the Qualtrics user interface) a small snippet of CSS that formats the radio buttons.</w:t>
      </w:r>
      <w:r>
        <w:t xml:space="preserve"> </w:t>
      </w:r>
      <w:r>
        <w:t xml:space="preserve">The Qualtrics questionnaire is then ready to collect data.</w:t>
      </w:r>
    </w:p>
    <w:p>
      <w:pPr>
        <w:pStyle w:val="BodyText"/>
      </w:pPr>
      <w:r>
        <w:t xml:space="preserve">After data collection, the raw Qualtrics dataset in wide format will contain columns with continuous records of the subjects’ mouse coordinates (</w:t>
      </w:r>
      <w:r>
        <w:t xml:space="preserve"> </w:t>
      </w:r>
      <w:r>
        <w:t xml:space="preserve">and</w:t>
      </w:r>
      <w:r>
        <w:t xml:space="preserve"> </w:t>
      </w:r>
      <w:r>
        <w:t xml:space="preserve">), the absolute time (ms since January 1, 1970, 00:00:00 UTC, which is the standard origin time in Javascript) at which these coordinates were recorded (</w:t>
      </w:r>
      <w:r>
        <w:t xml:space="preserve">), the times at which each trial began (</w:t>
      </w:r>
      <w:r>
        <w:t xml:space="preserve">), and the times at which the subject made the final selection (</w:t>
      </w:r>
      <w:r>
        <w:t xml:space="preserve">). These variables are recorded as a single string for each subject with a special character</w:t>
      </w:r>
      <w:r>
        <w:t xml:space="preserve"> </w:t>
      </w:r>
      <w:r>
        <w:t xml:space="preserve">“</w:t>
      </w:r>
      <w:r>
        <w:t xml:space="preserve">a</w:t>
      </w:r>
      <w:r>
        <w:t xml:space="preserve">”</w:t>
      </w:r>
      <w:r>
        <w:t xml:space="preserve"> </w:t>
      </w:r>
      <w:r>
        <w:t xml:space="preserve">separating the individual recordings, enabling easy parsing in R or another analysis software. That is,</w:t>
      </w:r>
      <w:r>
        <w:t xml:space="preserve"> </w:t>
      </w:r>
      <w:r>
        <w:t xml:space="preserve">,</w:t>
      </w:r>
      <w:r>
        <w:t xml:space="preserve"> </w:t>
      </w:r>
      <w:r>
        <w:t xml:space="preserve">, and</w:t>
      </w:r>
      <w:r>
        <w:t xml:space="preserve"> </w:t>
      </w:r>
      <w:r>
        <w:t xml:space="preserve"> </w:t>
      </w:r>
      <w:r>
        <w:t xml:space="preserve">are sampled as a triplet approximately every 16-18 ms, while</w:t>
      </w:r>
      <w:r>
        <w:t xml:space="preserve"> </w:t>
      </w:r>
      <w:r>
        <w:t xml:space="preserve"> </w:t>
      </w:r>
      <w:r>
        <w:t xml:space="preserve">and</w:t>
      </w:r>
      <w:r>
        <w:t xml:space="preserve"> </w:t>
      </w:r>
      <w:r>
        <w:t xml:space="preserve"> </w:t>
      </w:r>
      <w:r>
        <w:t xml:space="preserve">are sampled once per trial. Table</w:t>
      </w:r>
      <w:r>
        <w:t xml:space="preserve"> </w:t>
      </w:r>
      <w:r>
        <w:t xml:space="preserve"> </w:t>
      </w:r>
      <w:r>
        <w:t xml:space="preserve">provides details on these variables, along with additional variables that are collected in the raw Qualtrics data but were not used in the present analyses.</w:t>
      </w:r>
    </w:p>
    <w:p>
      <w:pPr>
        <w:pStyle w:val="BodyText"/>
      </w:pPr>
      <w:r>
        <w:t xml:space="preserve">The R code in</w:t>
      </w:r>
      <w:r>
        <w:t xml:space="preserve"> </w:t>
      </w:r>
      <w:r>
        <w:t xml:space="preserve"> </w:t>
      </w:r>
      <w:r>
        <w:t xml:space="preserve">automatically checks the data for idiosyncratic problems (returning a list of subjects flagged for possible exclusion, along with reasons), parses the raw data downloaded from Qualtrics, computes the outcome measures described above, and returns the dataset in an analysis-ready format. Specifically, the code first parses the character-separated strings into a list for each subject, each of which contains a list for each experimental stimulus. For example, a particular subject might have the following</w:t>
      </w:r>
      <w:r>
        <w:t xml:space="preserve"> </w:t>
      </w:r>
      <m:oMath>
        <m:r>
          <m:t>x</m:t>
        </m:r>
      </m:oMath>
      <w:r>
        <w:t xml:space="preserve">-coordinate lists for the first three stimuli (prior to rescaling the trajectories to unit length):</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947</w:t>
      </w:r>
      <w:r>
        <w:rPr>
          <w:rStyle w:val="NormalTok"/>
        </w:rPr>
        <w:t xml:space="preserve"> </w:t>
      </w:r>
      <w:r>
        <w:rPr>
          <w:rStyle w:val="DecValTok"/>
        </w:rPr>
        <w:t xml:space="preserve">946</w:t>
      </w:r>
      <w:r>
        <w:rPr>
          <w:rStyle w:val="NormalTok"/>
        </w:rPr>
        <w:t xml:space="preserve"> </w:t>
      </w:r>
      <w:r>
        <w:rPr>
          <w:rStyle w:val="DecValTok"/>
        </w:rPr>
        <w:t xml:space="preserve">946</w:t>
      </w:r>
      <w:r>
        <w:rPr>
          <w:rStyle w:val="NormalTok"/>
        </w:rPr>
        <w:t xml:space="preserve"> </w:t>
      </w:r>
      <w:r>
        <w:rPr>
          <w:rStyle w:val="DecValTok"/>
        </w:rPr>
        <w:t xml:space="preserve">946</w:t>
      </w:r>
      <w:r>
        <w:rPr>
          <w:rStyle w:val="NormalTok"/>
        </w:rPr>
        <w:t xml:space="preserve"> </w:t>
      </w:r>
      <w:r>
        <w:rPr>
          <w:rStyle w:val="DecValTok"/>
        </w:rPr>
        <w:t xml:space="preserve">946</w:t>
      </w:r>
      <w:r>
        <w:rPr>
          <w:rStyle w:val="NormalTok"/>
        </w:rPr>
        <w:t xml:space="preserve"> </w:t>
      </w:r>
      <w:r>
        <w:rPr>
          <w:rStyle w:val="DecValTok"/>
        </w:rPr>
        <w:t xml:space="preserve">944</w:t>
      </w:r>
      <w:r>
        <w:rPr>
          <w:rStyle w:val="NormalTok"/>
        </w:rPr>
        <w:t xml:space="preserve"> </w:t>
      </w:r>
      <w:r>
        <w:rPr>
          <w:rStyle w:val="DecValTok"/>
        </w:rPr>
        <w:t xml:space="preserve">941</w:t>
      </w:r>
      <w:r>
        <w:rPr>
          <w:rStyle w:val="NormalTok"/>
        </w:rPr>
        <w:t xml:space="preserve"> </w:t>
      </w:r>
      <w:r>
        <w:rPr>
          <w:rStyle w:val="DecValTok"/>
        </w:rPr>
        <w:t xml:space="preserve">938</w:t>
      </w:r>
      <w:r>
        <w:rPr>
          <w:rStyle w:val="NormalTok"/>
        </w:rPr>
        <w:t xml:space="preserve"> </w:t>
      </w:r>
      <w:r>
        <w:rPr>
          <w:rStyle w:val="DecValTok"/>
        </w:rPr>
        <w:t xml:space="preserve">936</w:t>
      </w:r>
      <w:r>
        <w:rPr>
          <w:rStyle w:val="NormalTok"/>
        </w:rPr>
        <w:t xml:space="preserve"> </w:t>
      </w:r>
      <w:r>
        <w:rPr>
          <w:rStyle w:val="DecValTok"/>
        </w:rPr>
        <w:t xml:space="preserve">934</w:t>
      </w:r>
      <w:r>
        <w:rPr>
          <w:rStyle w:val="NormalTok"/>
        </w:rPr>
        <w:t xml:space="preserve"> </w:t>
      </w:r>
      <w:r>
        <w:rPr>
          <w:rStyle w:val="DecValTok"/>
        </w:rPr>
        <w:t xml:space="preserve">932</w:t>
      </w:r>
      <w:r>
        <w:rPr>
          <w:rStyle w:val="NormalTok"/>
        </w:rPr>
        <w:t xml:space="preserve"> </w:t>
      </w:r>
      <w:r>
        <w:rPr>
          <w:rStyle w:val="DecValTok"/>
        </w:rPr>
        <w:t xml:space="preserve">927</w:t>
      </w:r>
      <w:r>
        <w:rPr>
          <w:rStyle w:val="NormalTok"/>
        </w:rPr>
        <w:t xml:space="preserve"> </w:t>
      </w:r>
      <w:r>
        <w:rPr>
          <w:rStyle w:val="DecValTok"/>
        </w:rPr>
        <w:t xml:space="preserve">922</w:t>
      </w:r>
      <w:r>
        <w:rPr>
          <w:rStyle w:val="NormalTok"/>
        </w:rPr>
        <w:t xml:space="preserve"> </w:t>
      </w:r>
      <w:r>
        <w:rPr>
          <w:rStyle w:val="DecValTok"/>
        </w:rPr>
        <w:t xml:space="preserve">916</w:t>
      </w:r>
      <w:r>
        <w:rPr>
          <w:rStyle w:val="NormalTok"/>
        </w:rPr>
        <w:t xml:space="preserve"> </w:t>
      </w:r>
      <w:r>
        <w:rPr>
          <w:rStyle w:val="DecValTok"/>
        </w:rPr>
        <w:t xml:space="preserve">910</w:t>
      </w:r>
      <w:r>
        <w:br w:type="textWrapping"/>
      </w:r>
      <w:r>
        <w:rPr>
          <w:rStyle w:val="NormalTok"/>
        </w:rPr>
        <w:t xml:space="preserve">[</w:t>
      </w:r>
      <w:r>
        <w:rPr>
          <w:rStyle w:val="DecValTok"/>
        </w:rPr>
        <w:t xml:space="preserve">16</w:t>
      </w:r>
      <w:r>
        <w:rPr>
          <w:rStyle w:val="NormalTok"/>
        </w:rPr>
        <w:t xml:space="preserve">] </w:t>
      </w:r>
      <w:r>
        <w:rPr>
          <w:rStyle w:val="DecValTok"/>
        </w:rPr>
        <w:t xml:space="preserve">908</w:t>
      </w:r>
      <w:r>
        <w:rPr>
          <w:rStyle w:val="NormalTok"/>
        </w:rPr>
        <w:t xml:space="preserve"> </w:t>
      </w:r>
      <w:r>
        <w:rPr>
          <w:rStyle w:val="DecValTok"/>
        </w:rPr>
        <w:t xml:space="preserve">906</w:t>
      </w:r>
      <w:r>
        <w:rPr>
          <w:rStyle w:val="NormalTok"/>
        </w:rPr>
        <w:t xml:space="preserve"> </w:t>
      </w:r>
      <w:r>
        <w:rPr>
          <w:rStyle w:val="DecValTok"/>
        </w:rPr>
        <w:t xml:space="preserve">903</w:t>
      </w:r>
      <w:r>
        <w:rPr>
          <w:rStyle w:val="NormalTok"/>
        </w:rPr>
        <w:t xml:space="preserve"> </w:t>
      </w:r>
      <w:r>
        <w:rPr>
          <w:rStyle w:val="DecValTok"/>
        </w:rPr>
        <w:t xml:space="preserve">899</w:t>
      </w:r>
      <w:r>
        <w:rPr>
          <w:rStyle w:val="NormalTok"/>
        </w:rPr>
        <w:t xml:space="preserve"> </w:t>
      </w:r>
      <w:r>
        <w:rPr>
          <w:rStyle w:val="DecValTok"/>
        </w:rPr>
        <w:t xml:space="preserve">894</w:t>
      </w:r>
      <w:r>
        <w:rPr>
          <w:rStyle w:val="NormalTok"/>
        </w:rPr>
        <w:t xml:space="preserve"> </w:t>
      </w:r>
      <w:r>
        <w:rPr>
          <w:rStyle w:val="DecValTok"/>
        </w:rPr>
        <w:t xml:space="preserve">887</w:t>
      </w:r>
      <w:r>
        <w:rPr>
          <w:rStyle w:val="NormalTok"/>
        </w:rPr>
        <w:t xml:space="preserve"> </w:t>
      </w:r>
      <w:r>
        <w:rPr>
          <w:rStyle w:val="DecValTok"/>
        </w:rPr>
        <w:t xml:space="preserve">880</w:t>
      </w:r>
      <w:r>
        <w:rPr>
          <w:rStyle w:val="NormalTok"/>
        </w:rPr>
        <w:t xml:space="preserve"> </w:t>
      </w:r>
      <w:r>
        <w:rPr>
          <w:rStyle w:val="DecValTok"/>
        </w:rPr>
        <w:t xml:space="preserve">874</w:t>
      </w:r>
      <w:r>
        <w:rPr>
          <w:rStyle w:val="NormalTok"/>
        </w:rPr>
        <w:t xml:space="preserve"> </w:t>
      </w:r>
      <w:r>
        <w:rPr>
          <w:rStyle w:val="DecValTok"/>
        </w:rPr>
        <w:t xml:space="preserve">867</w:t>
      </w:r>
      <w:r>
        <w:rPr>
          <w:rStyle w:val="NormalTok"/>
        </w:rPr>
        <w:t xml:space="preserve"> </w:t>
      </w:r>
      <w:r>
        <w:rPr>
          <w:rStyle w:val="DecValTok"/>
        </w:rPr>
        <w:t xml:space="preserve">859</w:t>
      </w:r>
      <w:r>
        <w:rPr>
          <w:rStyle w:val="NormalTok"/>
        </w:rPr>
        <w:t xml:space="preserve"> </w:t>
      </w:r>
      <w:r>
        <w:rPr>
          <w:rStyle w:val="DecValTok"/>
        </w:rPr>
        <w:t xml:space="preserve">850</w:t>
      </w:r>
      <w:r>
        <w:rPr>
          <w:rStyle w:val="NormalTok"/>
        </w:rPr>
        <w:t xml:space="preserve"> </w:t>
      </w:r>
      <w:r>
        <w:rPr>
          <w:rStyle w:val="DecValTok"/>
        </w:rPr>
        <w:t xml:space="preserve">839</w:t>
      </w:r>
      <w:r>
        <w:rPr>
          <w:rStyle w:val="NormalTok"/>
        </w:rPr>
        <w:t xml:space="preserve"> </w:t>
      </w:r>
      <w:r>
        <w:rPr>
          <w:rStyle w:val="DecValTok"/>
        </w:rPr>
        <w:t xml:space="preserve">829</w:t>
      </w:r>
      <w:r>
        <w:rPr>
          <w:rStyle w:val="NormalTok"/>
        </w:rPr>
        <w:t xml:space="preserve"> </w:t>
      </w:r>
      <w:r>
        <w:rPr>
          <w:rStyle w:val="DecValTok"/>
        </w:rPr>
        <w:t xml:space="preserve">815</w:t>
      </w:r>
      <w:r>
        <w:rPr>
          <w:rStyle w:val="NormalTok"/>
        </w:rPr>
        <w:t xml:space="preserve"> </w:t>
      </w:r>
      <w:r>
        <w:rPr>
          <w:rStyle w:val="DecValTok"/>
        </w:rPr>
        <w:t xml:space="preserve">803</w:t>
      </w:r>
      <w:r>
        <w:br w:type="textWrapping"/>
      </w:r>
      <w:r>
        <w:rPr>
          <w:rStyle w:val="NormalTok"/>
        </w:rPr>
        <w:t xml:space="preserve">[</w:t>
      </w:r>
      <w:r>
        <w:rPr>
          <w:rStyle w:val="DecValTok"/>
        </w:rPr>
        <w:t xml:space="preserve">31</w:t>
      </w:r>
      <w:r>
        <w:rPr>
          <w:rStyle w:val="NormalTok"/>
        </w:rPr>
        <w:t xml:space="preserve">] </w:t>
      </w:r>
      <w:r>
        <w:rPr>
          <w:rStyle w:val="DecValTok"/>
        </w:rPr>
        <w:t xml:space="preserve">794</w:t>
      </w:r>
      <w:r>
        <w:rPr>
          <w:rStyle w:val="NormalTok"/>
        </w:rPr>
        <w:t xml:space="preserve"> </w:t>
      </w:r>
      <w:r>
        <w:rPr>
          <w:rStyle w:val="DecValTok"/>
        </w:rPr>
        <w:t xml:space="preserve">786</w:t>
      </w:r>
      <w:r>
        <w:rPr>
          <w:rStyle w:val="NormalTok"/>
        </w:rPr>
        <w:t xml:space="preserve"> </w:t>
      </w:r>
      <w:r>
        <w:rPr>
          <w:rStyle w:val="DecValTok"/>
        </w:rPr>
        <w:t xml:space="preserve">777</w:t>
      </w:r>
      <w:r>
        <w:rPr>
          <w:rStyle w:val="NormalTok"/>
        </w:rPr>
        <w:t xml:space="preserve"> </w:t>
      </w:r>
      <w:r>
        <w:rPr>
          <w:rStyle w:val="DecValTok"/>
        </w:rPr>
        <w:t xml:space="preserve">768</w:t>
      </w:r>
      <w:r>
        <w:rPr>
          <w:rStyle w:val="NormalTok"/>
        </w:rPr>
        <w:t xml:space="preserve"> </w:t>
      </w:r>
      <w:r>
        <w:rPr>
          <w:rStyle w:val="DecValTok"/>
        </w:rPr>
        <w:t xml:space="preserve">758</w:t>
      </w:r>
      <w:r>
        <w:rPr>
          <w:rStyle w:val="NormalTok"/>
        </w:rPr>
        <w:t xml:space="preserve"> </w:t>
      </w:r>
      <w:r>
        <w:rPr>
          <w:rStyle w:val="DecValTok"/>
        </w:rPr>
        <w:t xml:space="preserve">750</w:t>
      </w:r>
      <w:r>
        <w:rPr>
          <w:rStyle w:val="NormalTok"/>
        </w:rPr>
        <w:t xml:space="preserve"> </w:t>
      </w:r>
      <w:r>
        <w:rPr>
          <w:rStyle w:val="DecValTok"/>
        </w:rPr>
        <w:t xml:space="preserve">744</w:t>
      </w:r>
      <w:r>
        <w:rPr>
          <w:rStyle w:val="NormalTok"/>
        </w:rPr>
        <w:t xml:space="preserve"> </w:t>
      </w:r>
      <w:r>
        <w:rPr>
          <w:rStyle w:val="DecValTok"/>
        </w:rPr>
        <w:t xml:space="preserve">736</w:t>
      </w:r>
      <w:r>
        <w:rPr>
          <w:rStyle w:val="NormalTok"/>
        </w:rPr>
        <w:t xml:space="preserve"> </w:t>
      </w:r>
      <w:r>
        <w:rPr>
          <w:rStyle w:val="DecValTok"/>
        </w:rPr>
        <w:t xml:space="preserve">728</w:t>
      </w:r>
      <w:r>
        <w:rPr>
          <w:rStyle w:val="NormalTok"/>
        </w:rPr>
        <w:t xml:space="preserve"> </w:t>
      </w:r>
      <w:r>
        <w:rPr>
          <w:rStyle w:val="DecValTok"/>
        </w:rPr>
        <w:t xml:space="preserve">723</w:t>
      </w:r>
      <w:r>
        <w:rPr>
          <w:rStyle w:val="NormalTok"/>
        </w:rPr>
        <w:t xml:space="preserve"> </w:t>
      </w:r>
      <w:r>
        <w:rPr>
          <w:rStyle w:val="DecValTok"/>
        </w:rPr>
        <w:t xml:space="preserve">719</w:t>
      </w:r>
      <w:r>
        <w:rPr>
          <w:rStyle w:val="NormalTok"/>
        </w:rPr>
        <w:t xml:space="preserve"> </w:t>
      </w:r>
      <w:r>
        <w:rPr>
          <w:rStyle w:val="DecValTok"/>
        </w:rPr>
        <w:t xml:space="preserve">717</w:t>
      </w:r>
      <w:r>
        <w:rPr>
          <w:rStyle w:val="NormalTok"/>
        </w:rPr>
        <w:t xml:space="preserve"> </w:t>
      </w:r>
      <w:r>
        <w:rPr>
          <w:rStyle w:val="DecValTok"/>
        </w:rPr>
        <w:t xml:space="preserve">714</w:t>
      </w:r>
      <w:r>
        <w:rPr>
          <w:rStyle w:val="NormalTok"/>
        </w:rPr>
        <w:t xml:space="preserve"> </w:t>
      </w:r>
      <w:r>
        <w:rPr>
          <w:rStyle w:val="DecValTok"/>
        </w:rPr>
        <w:t xml:space="preserve">709</w:t>
      </w:r>
      <w:r>
        <w:rPr>
          <w:rStyle w:val="NormalTok"/>
        </w:rPr>
        <w:t xml:space="preserve"> </w:t>
      </w:r>
      <w:r>
        <w:rPr>
          <w:rStyle w:val="DecValTok"/>
        </w:rPr>
        <w:t xml:space="preserve">703</w:t>
      </w:r>
      <w:r>
        <w:br w:type="textWrapping"/>
      </w:r>
      <w:r>
        <w:rPr>
          <w:rStyle w:val="NormalTok"/>
        </w:rPr>
        <w:t xml:space="preserve">[</w:t>
      </w:r>
      <w:r>
        <w:rPr>
          <w:rStyle w:val="DecValTok"/>
        </w:rPr>
        <w:t xml:space="preserve">46</w:t>
      </w:r>
      <w:r>
        <w:rPr>
          <w:rStyle w:val="NormalTok"/>
        </w:rPr>
        <w:t xml:space="preserve">] </w:t>
      </w:r>
      <w:r>
        <w:rPr>
          <w:rStyle w:val="DecValTok"/>
        </w:rPr>
        <w:t xml:space="preserve">700</w:t>
      </w:r>
      <w:r>
        <w:rPr>
          <w:rStyle w:val="NormalTok"/>
        </w:rPr>
        <w:t xml:space="preserve"> </w:t>
      </w:r>
      <w:r>
        <w:rPr>
          <w:rStyle w:val="DecValTok"/>
        </w:rPr>
        <w:t xml:space="preserve">696</w:t>
      </w:r>
      <w:r>
        <w:rPr>
          <w:rStyle w:val="NormalTok"/>
        </w:rPr>
        <w:t xml:space="preserve"> </w:t>
      </w:r>
      <w:r>
        <w:rPr>
          <w:rStyle w:val="DecValTok"/>
        </w:rPr>
        <w:t xml:space="preserve">692</w:t>
      </w:r>
      <w:r>
        <w:rPr>
          <w:rStyle w:val="NormalTok"/>
        </w:rPr>
        <w:t xml:space="preserve"> </w:t>
      </w:r>
      <w:r>
        <w:rPr>
          <w:rStyle w:val="DecValTok"/>
        </w:rPr>
        <w:t xml:space="preserve">690</w:t>
      </w:r>
      <w:r>
        <w:rPr>
          <w:rStyle w:val="NormalTok"/>
        </w:rPr>
        <w:t xml:space="preserve"> </w:t>
      </w:r>
      <w:r>
        <w:rPr>
          <w:rStyle w:val="DecValTok"/>
        </w:rPr>
        <w:t xml:space="preserve">689</w:t>
      </w:r>
      <w:r>
        <w:rPr>
          <w:rStyle w:val="NormalTok"/>
        </w:rPr>
        <w:t xml:space="preserve"> </w:t>
      </w:r>
      <w:r>
        <w:rPr>
          <w:rStyle w:val="DecValTok"/>
        </w:rPr>
        <w:t xml:space="preserve">687</w:t>
      </w:r>
      <w:r>
        <w:rPr>
          <w:rStyle w:val="NormalTok"/>
        </w:rPr>
        <w:t xml:space="preserve"> </w:t>
      </w:r>
      <w:r>
        <w:rPr>
          <w:rStyle w:val="DecValTok"/>
        </w:rPr>
        <w:t xml:space="preserve">684</w:t>
      </w:r>
      <w:r>
        <w:rPr>
          <w:rStyle w:val="NormalTok"/>
        </w:rPr>
        <w:t xml:space="preserve"> </w:t>
      </w:r>
      <w:r>
        <w:rPr>
          <w:rStyle w:val="DecValTok"/>
        </w:rPr>
        <w:t xml:space="preserve">681</w:t>
      </w:r>
      <w:r>
        <w:rPr>
          <w:rStyle w:val="NormalTok"/>
        </w:rPr>
        <w:t xml:space="preserve"> </w:t>
      </w:r>
      <w:r>
        <w:rPr>
          <w:rStyle w:val="DecValTok"/>
        </w:rPr>
        <w:t xml:space="preserve">680</w:t>
      </w:r>
      <w:r>
        <w:rPr>
          <w:rStyle w:val="NormalTok"/>
        </w:rPr>
        <w:t xml:space="preserve"> </w:t>
      </w:r>
      <w:r>
        <w:rPr>
          <w:rStyle w:val="DecValTok"/>
        </w:rPr>
        <w:t xml:space="preserve">678</w:t>
      </w:r>
      <w:r>
        <w:rPr>
          <w:rStyle w:val="NormalTok"/>
        </w:rPr>
        <w:t xml:space="preserve"> </w:t>
      </w:r>
      <w:r>
        <w:rPr>
          <w:rStyle w:val="DecValTok"/>
        </w:rPr>
        <w:t xml:space="preserve">676</w:t>
      </w:r>
      <w:r>
        <w:rPr>
          <w:rStyle w:val="NormalTok"/>
        </w:rPr>
        <w:t xml:space="preserve"> </w:t>
      </w:r>
      <w:r>
        <w:rPr>
          <w:rStyle w:val="DecValTok"/>
        </w:rPr>
        <w:t xml:space="preserve">675</w:t>
      </w:r>
      <w:r>
        <w:rPr>
          <w:rStyle w:val="NormalTok"/>
        </w:rPr>
        <w:t xml:space="preserve"> </w:t>
      </w:r>
      <w:r>
        <w:rPr>
          <w:rStyle w:val="DecValTok"/>
        </w:rPr>
        <w:t xml:space="preserve">674</w:t>
      </w:r>
      <w:r>
        <w:rPr>
          <w:rStyle w:val="NormalTok"/>
        </w:rPr>
        <w:t xml:space="preserve"> </w:t>
      </w:r>
      <w:r>
        <w:rPr>
          <w:rStyle w:val="DecValTok"/>
        </w:rPr>
        <w:t xml:space="preserve">672</w:t>
      </w:r>
      <w:r>
        <w:rPr>
          <w:rStyle w:val="NormalTok"/>
        </w:rPr>
        <w:t xml:space="preserve"> </w:t>
      </w:r>
      <w:r>
        <w:rPr>
          <w:rStyle w:val="DecValTok"/>
        </w:rPr>
        <w:t xml:space="preserve">670</w:t>
      </w:r>
      <w:r>
        <w:br w:type="textWrapping"/>
      </w:r>
      <w:r>
        <w:rPr>
          <w:rStyle w:val="NormalTok"/>
        </w:rPr>
        <w:t xml:space="preserve">[</w:t>
      </w:r>
      <w:r>
        <w:rPr>
          <w:rStyle w:val="DecValTok"/>
        </w:rPr>
        <w:t xml:space="preserve">61</w:t>
      </w:r>
      <w:r>
        <w:rPr>
          <w:rStyle w:val="NormalTok"/>
        </w:rPr>
        <w:t xml:space="preserve">] </w:t>
      </w:r>
      <w:r>
        <w:rPr>
          <w:rStyle w:val="DecValTok"/>
        </w:rPr>
        <w:t xml:space="preserve">669</w:t>
      </w:r>
      <w:r>
        <w:rPr>
          <w:rStyle w:val="NormalTok"/>
        </w:rPr>
        <w:t xml:space="preserve"> </w:t>
      </w:r>
      <w:r>
        <w:rPr>
          <w:rStyle w:val="DecValTok"/>
        </w:rPr>
        <w:t xml:space="preserve">668</w:t>
      </w:r>
      <w:r>
        <w:rPr>
          <w:rStyle w:val="NormalTok"/>
        </w:rPr>
        <w:t xml:space="preserve"> </w:t>
      </w:r>
      <w:r>
        <w:rPr>
          <w:rStyle w:val="DecValTok"/>
        </w:rPr>
        <w:t xml:space="preserve">668</w:t>
      </w:r>
      <w:r>
        <w:br w:type="textWrapping"/>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972</w:t>
      </w:r>
      <w:r>
        <w:rPr>
          <w:rStyle w:val="NormalTok"/>
        </w:rPr>
        <w:t xml:space="preserve"> </w:t>
      </w:r>
      <w:r>
        <w:rPr>
          <w:rStyle w:val="DecValTok"/>
        </w:rPr>
        <w:t xml:space="preserve">968</w:t>
      </w:r>
      <w:r>
        <w:rPr>
          <w:rStyle w:val="NormalTok"/>
        </w:rPr>
        <w:t xml:space="preserve"> </w:t>
      </w:r>
      <w:r>
        <w:rPr>
          <w:rStyle w:val="DecValTok"/>
        </w:rPr>
        <w:t xml:space="preserve">964</w:t>
      </w:r>
      <w:r>
        <w:rPr>
          <w:rStyle w:val="NormalTok"/>
        </w:rPr>
        <w:t xml:space="preserve"> </w:t>
      </w:r>
      <w:r>
        <w:rPr>
          <w:rStyle w:val="DecValTok"/>
        </w:rPr>
        <w:t xml:space="preserve">960</w:t>
      </w:r>
      <w:r>
        <w:rPr>
          <w:rStyle w:val="NormalTok"/>
        </w:rPr>
        <w:t xml:space="preserve"> </w:t>
      </w:r>
      <w:r>
        <w:rPr>
          <w:rStyle w:val="DecValTok"/>
        </w:rPr>
        <w:t xml:space="preserve">956</w:t>
      </w:r>
      <w:r>
        <w:rPr>
          <w:rStyle w:val="NormalTok"/>
        </w:rPr>
        <w:t xml:space="preserve"> </w:t>
      </w:r>
      <w:r>
        <w:rPr>
          <w:rStyle w:val="DecValTok"/>
        </w:rPr>
        <w:t xml:space="preserve">951</w:t>
      </w:r>
      <w:r>
        <w:rPr>
          <w:rStyle w:val="NormalTok"/>
        </w:rPr>
        <w:t xml:space="preserve"> </w:t>
      </w:r>
      <w:r>
        <w:rPr>
          <w:rStyle w:val="DecValTok"/>
        </w:rPr>
        <w:t xml:space="preserve">946</w:t>
      </w:r>
      <w:r>
        <w:rPr>
          <w:rStyle w:val="NormalTok"/>
        </w:rPr>
        <w:t xml:space="preserve"> </w:t>
      </w:r>
      <w:r>
        <w:rPr>
          <w:rStyle w:val="DecValTok"/>
        </w:rPr>
        <w:t xml:space="preserve">939</w:t>
      </w:r>
      <w:r>
        <w:rPr>
          <w:rStyle w:val="NormalTok"/>
        </w:rPr>
        <w:t xml:space="preserve"> </w:t>
      </w:r>
      <w:r>
        <w:rPr>
          <w:rStyle w:val="DecValTok"/>
        </w:rPr>
        <w:t xml:space="preserve">927</w:t>
      </w:r>
      <w:r>
        <w:rPr>
          <w:rStyle w:val="NormalTok"/>
        </w:rPr>
        <w:t xml:space="preserve"> </w:t>
      </w:r>
      <w:r>
        <w:rPr>
          <w:rStyle w:val="DecValTok"/>
        </w:rPr>
        <w:t xml:space="preserve">917</w:t>
      </w:r>
      <w:r>
        <w:rPr>
          <w:rStyle w:val="NormalTok"/>
        </w:rPr>
        <w:t xml:space="preserve"> </w:t>
      </w:r>
      <w:r>
        <w:rPr>
          <w:rStyle w:val="DecValTok"/>
        </w:rPr>
        <w:t xml:space="preserve">908</w:t>
      </w:r>
      <w:r>
        <w:rPr>
          <w:rStyle w:val="NormalTok"/>
        </w:rPr>
        <w:t xml:space="preserve"> </w:t>
      </w:r>
      <w:r>
        <w:rPr>
          <w:rStyle w:val="DecValTok"/>
        </w:rPr>
        <w:t xml:space="preserve">900</w:t>
      </w:r>
      <w:r>
        <w:rPr>
          <w:rStyle w:val="NormalTok"/>
        </w:rPr>
        <w:t xml:space="preserve"> </w:t>
      </w:r>
      <w:r>
        <w:rPr>
          <w:rStyle w:val="DecValTok"/>
        </w:rPr>
        <w:t xml:space="preserve">888</w:t>
      </w:r>
      <w:r>
        <w:rPr>
          <w:rStyle w:val="NormalTok"/>
        </w:rPr>
        <w:t xml:space="preserve"> </w:t>
      </w:r>
      <w:r>
        <w:rPr>
          <w:rStyle w:val="DecValTok"/>
        </w:rPr>
        <w:t xml:space="preserve">876</w:t>
      </w:r>
      <w:r>
        <w:rPr>
          <w:rStyle w:val="NormalTok"/>
        </w:rPr>
        <w:t xml:space="preserve"> </w:t>
      </w:r>
      <w:r>
        <w:rPr>
          <w:rStyle w:val="DecValTok"/>
        </w:rPr>
        <w:t xml:space="preserve">862</w:t>
      </w:r>
      <w:r>
        <w:br w:type="textWrapping"/>
      </w:r>
      <w:r>
        <w:rPr>
          <w:rStyle w:val="NormalTok"/>
        </w:rPr>
        <w:t xml:space="preserve">[</w:t>
      </w:r>
      <w:r>
        <w:rPr>
          <w:rStyle w:val="DecValTok"/>
        </w:rPr>
        <w:t xml:space="preserve">16</w:t>
      </w:r>
      <w:r>
        <w:rPr>
          <w:rStyle w:val="NormalTok"/>
        </w:rPr>
        <w:t xml:space="preserve">] </w:t>
      </w:r>
      <w:r>
        <w:rPr>
          <w:rStyle w:val="DecValTok"/>
        </w:rPr>
        <w:t xml:space="preserve">847</w:t>
      </w:r>
      <w:r>
        <w:rPr>
          <w:rStyle w:val="NormalTok"/>
        </w:rPr>
        <w:t xml:space="preserve"> </w:t>
      </w:r>
      <w:r>
        <w:rPr>
          <w:rStyle w:val="DecValTok"/>
        </w:rPr>
        <w:t xml:space="preserve">831</w:t>
      </w:r>
      <w:r>
        <w:rPr>
          <w:rStyle w:val="NormalTok"/>
        </w:rPr>
        <w:t xml:space="preserve"> </w:t>
      </w:r>
      <w:r>
        <w:rPr>
          <w:rStyle w:val="DecValTok"/>
        </w:rPr>
        <w:t xml:space="preserve">816</w:t>
      </w:r>
      <w:r>
        <w:rPr>
          <w:rStyle w:val="NormalTok"/>
        </w:rPr>
        <w:t xml:space="preserve"> </w:t>
      </w:r>
      <w:r>
        <w:rPr>
          <w:rStyle w:val="DecValTok"/>
        </w:rPr>
        <w:t xml:space="preserve">801</w:t>
      </w:r>
      <w:r>
        <w:rPr>
          <w:rStyle w:val="NormalTok"/>
        </w:rPr>
        <w:t xml:space="preserve"> </w:t>
      </w:r>
      <w:r>
        <w:rPr>
          <w:rStyle w:val="DecValTok"/>
        </w:rPr>
        <w:t xml:space="preserve">784</w:t>
      </w:r>
      <w:r>
        <w:rPr>
          <w:rStyle w:val="NormalTok"/>
        </w:rPr>
        <w:t xml:space="preserve"> </w:t>
      </w:r>
      <w:r>
        <w:rPr>
          <w:rStyle w:val="DecValTok"/>
        </w:rPr>
        <w:t xml:space="preserve">772</w:t>
      </w:r>
      <w:r>
        <w:rPr>
          <w:rStyle w:val="NormalTok"/>
        </w:rPr>
        <w:t xml:space="preserve"> </w:t>
      </w:r>
      <w:r>
        <w:rPr>
          <w:rStyle w:val="DecValTok"/>
        </w:rPr>
        <w:t xml:space="preserve">763</w:t>
      </w:r>
      <w:r>
        <w:rPr>
          <w:rStyle w:val="NormalTok"/>
        </w:rPr>
        <w:t xml:space="preserve"> </w:t>
      </w:r>
      <w:r>
        <w:rPr>
          <w:rStyle w:val="DecValTok"/>
        </w:rPr>
        <w:t xml:space="preserve">753</w:t>
      </w:r>
      <w:r>
        <w:rPr>
          <w:rStyle w:val="NormalTok"/>
        </w:rPr>
        <w:t xml:space="preserve"> </w:t>
      </w:r>
      <w:r>
        <w:rPr>
          <w:rStyle w:val="DecValTok"/>
        </w:rPr>
        <w:t xml:space="preserve">743</w:t>
      </w:r>
      <w:r>
        <w:rPr>
          <w:rStyle w:val="NormalTok"/>
        </w:rPr>
        <w:t xml:space="preserve"> </w:t>
      </w:r>
      <w:r>
        <w:rPr>
          <w:rStyle w:val="DecValTok"/>
        </w:rPr>
        <w:t xml:space="preserve">733</w:t>
      </w:r>
      <w:r>
        <w:rPr>
          <w:rStyle w:val="NormalTok"/>
        </w:rPr>
        <w:t xml:space="preserve"> </w:t>
      </w:r>
      <w:r>
        <w:rPr>
          <w:rStyle w:val="DecValTok"/>
        </w:rPr>
        <w:t xml:space="preserve">725</w:t>
      </w:r>
      <w:r>
        <w:rPr>
          <w:rStyle w:val="NormalTok"/>
        </w:rPr>
        <w:t xml:space="preserve"> </w:t>
      </w:r>
      <w:r>
        <w:rPr>
          <w:rStyle w:val="DecValTok"/>
        </w:rPr>
        <w:t xml:space="preserve">721</w:t>
      </w:r>
      <w:r>
        <w:rPr>
          <w:rStyle w:val="NormalTok"/>
        </w:rPr>
        <w:t xml:space="preserve"> </w:t>
      </w:r>
      <w:r>
        <w:rPr>
          <w:rStyle w:val="DecValTok"/>
        </w:rPr>
        <w:t xml:space="preserve">715</w:t>
      </w:r>
      <w:r>
        <w:rPr>
          <w:rStyle w:val="NormalTok"/>
        </w:rPr>
        <w:t xml:space="preserve"> </w:t>
      </w:r>
      <w:r>
        <w:rPr>
          <w:rStyle w:val="DecValTok"/>
        </w:rPr>
        <w:t xml:space="preserve">709</w:t>
      </w:r>
      <w:r>
        <w:rPr>
          <w:rStyle w:val="NormalTok"/>
        </w:rPr>
        <w:t xml:space="preserve"> </w:t>
      </w:r>
      <w:r>
        <w:rPr>
          <w:rStyle w:val="DecValTok"/>
        </w:rPr>
        <w:t xml:space="preserve">704</w:t>
      </w:r>
      <w:r>
        <w:br w:type="textWrapping"/>
      </w:r>
      <w:r>
        <w:rPr>
          <w:rStyle w:val="NormalTok"/>
        </w:rPr>
        <w:t xml:space="preserve">[</w:t>
      </w:r>
      <w:r>
        <w:rPr>
          <w:rStyle w:val="DecValTok"/>
        </w:rPr>
        <w:t xml:space="preserve">31</w:t>
      </w:r>
      <w:r>
        <w:rPr>
          <w:rStyle w:val="NormalTok"/>
        </w:rPr>
        <w:t xml:space="preserve">] </w:t>
      </w:r>
      <w:r>
        <w:rPr>
          <w:rStyle w:val="DecValTok"/>
        </w:rPr>
        <w:t xml:space="preserve">699</w:t>
      </w:r>
      <w:r>
        <w:rPr>
          <w:rStyle w:val="NormalTok"/>
        </w:rPr>
        <w:t xml:space="preserve"> </w:t>
      </w:r>
      <w:r>
        <w:rPr>
          <w:rStyle w:val="DecValTok"/>
        </w:rPr>
        <w:t xml:space="preserve">696</w:t>
      </w:r>
      <w:r>
        <w:rPr>
          <w:rStyle w:val="NormalTok"/>
        </w:rPr>
        <w:t xml:space="preserve"> </w:t>
      </w:r>
      <w:r>
        <w:rPr>
          <w:rStyle w:val="DecValTok"/>
        </w:rPr>
        <w:t xml:space="preserve">694</w:t>
      </w:r>
      <w:r>
        <w:rPr>
          <w:rStyle w:val="NormalTok"/>
        </w:rPr>
        <w:t xml:space="preserve"> </w:t>
      </w:r>
      <w:r>
        <w:rPr>
          <w:rStyle w:val="DecValTok"/>
        </w:rPr>
        <w:t xml:space="preserve">692</w:t>
      </w:r>
      <w:r>
        <w:rPr>
          <w:rStyle w:val="NormalTok"/>
        </w:rPr>
        <w:t xml:space="preserve"> </w:t>
      </w:r>
      <w:r>
        <w:rPr>
          <w:rStyle w:val="DecValTok"/>
        </w:rPr>
        <w:t xml:space="preserve">689</w:t>
      </w:r>
      <w:r>
        <w:rPr>
          <w:rStyle w:val="NormalTok"/>
        </w:rPr>
        <w:t xml:space="preserve"> </w:t>
      </w:r>
      <w:r>
        <w:rPr>
          <w:rStyle w:val="DecValTok"/>
        </w:rPr>
        <w:t xml:space="preserve">685</w:t>
      </w:r>
      <w:r>
        <w:rPr>
          <w:rStyle w:val="NormalTok"/>
        </w:rPr>
        <w:t xml:space="preserve"> </w:t>
      </w:r>
      <w:r>
        <w:rPr>
          <w:rStyle w:val="DecValTok"/>
        </w:rPr>
        <w:t xml:space="preserve">683</w:t>
      </w:r>
      <w:r>
        <w:rPr>
          <w:rStyle w:val="NormalTok"/>
        </w:rPr>
        <w:t xml:space="preserve"> </w:t>
      </w:r>
      <w:r>
        <w:rPr>
          <w:rStyle w:val="DecValTok"/>
        </w:rPr>
        <w:t xml:space="preserve">682</w:t>
      </w:r>
      <w:r>
        <w:rPr>
          <w:rStyle w:val="NormalTok"/>
        </w:rPr>
        <w:t xml:space="preserve"> </w:t>
      </w:r>
      <w:r>
        <w:rPr>
          <w:rStyle w:val="DecValTok"/>
        </w:rPr>
        <w:t xml:space="preserve">679</w:t>
      </w:r>
      <w:r>
        <w:rPr>
          <w:rStyle w:val="NormalTok"/>
        </w:rPr>
        <w:t xml:space="preserve"> </w:t>
      </w:r>
      <w:r>
        <w:rPr>
          <w:rStyle w:val="DecValTok"/>
        </w:rPr>
        <w:t xml:space="preserve">676</w:t>
      </w:r>
      <w:r>
        <w:rPr>
          <w:rStyle w:val="NormalTok"/>
        </w:rPr>
        <w:t xml:space="preserve"> </w:t>
      </w:r>
      <w:r>
        <w:rPr>
          <w:rStyle w:val="DecValTok"/>
        </w:rPr>
        <w:t xml:space="preserve">675</w:t>
      </w:r>
      <w:r>
        <w:rPr>
          <w:rStyle w:val="NormalTok"/>
        </w:rPr>
        <w:t xml:space="preserve"> </w:t>
      </w:r>
      <w:r>
        <w:rPr>
          <w:rStyle w:val="DecValTok"/>
        </w:rPr>
        <w:t xml:space="preserve">674</w:t>
      </w:r>
      <w:r>
        <w:rPr>
          <w:rStyle w:val="NormalTok"/>
        </w:rPr>
        <w:t xml:space="preserve"> </w:t>
      </w:r>
      <w:r>
        <w:rPr>
          <w:rStyle w:val="DecValTok"/>
        </w:rPr>
        <w:t xml:space="preserve">674</w:t>
      </w:r>
      <w:r>
        <w:rPr>
          <w:rStyle w:val="NormalTok"/>
        </w:rPr>
        <w:t xml:space="preserve"> </w:t>
      </w:r>
      <w:r>
        <w:rPr>
          <w:rStyle w:val="DecValTok"/>
        </w:rPr>
        <w:t xml:space="preserve">673</w:t>
      </w:r>
      <w:r>
        <w:rPr>
          <w:rStyle w:val="NormalTok"/>
        </w:rPr>
        <w:t xml:space="preserve"> </w:t>
      </w:r>
      <w:r>
        <w:rPr>
          <w:rStyle w:val="DecValTok"/>
        </w:rPr>
        <w:t xml:space="preserve">672</w:t>
      </w:r>
      <w:r>
        <w:br w:type="textWrapping"/>
      </w:r>
      <w:r>
        <w:rPr>
          <w:rStyle w:val="NormalTok"/>
        </w:rPr>
        <w:t xml:space="preserve">[</w:t>
      </w:r>
      <w:r>
        <w:rPr>
          <w:rStyle w:val="DecValTok"/>
        </w:rPr>
        <w:t xml:space="preserve">46</w:t>
      </w:r>
      <w:r>
        <w:rPr>
          <w:rStyle w:val="NormalTok"/>
        </w:rPr>
        <w:t xml:space="preserve">] </w:t>
      </w:r>
      <w:r>
        <w:rPr>
          <w:rStyle w:val="DecValTok"/>
        </w:rPr>
        <w:t xml:space="preserve">671</w:t>
      </w:r>
      <w:r>
        <w:rPr>
          <w:rStyle w:val="NormalTok"/>
        </w:rPr>
        <w:t xml:space="preserve"> </w:t>
      </w:r>
      <w:r>
        <w:rPr>
          <w:rStyle w:val="DecValTok"/>
        </w:rPr>
        <w:t xml:space="preserve">671</w:t>
      </w:r>
      <w:r>
        <w:br w:type="textWrapping"/>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988</w:t>
      </w:r>
      <w:r>
        <w:rPr>
          <w:rStyle w:val="NormalTok"/>
        </w:rPr>
        <w:t xml:space="preserve"> </w:t>
      </w:r>
      <w:r>
        <w:rPr>
          <w:rStyle w:val="DecValTok"/>
        </w:rPr>
        <w:t xml:space="preserve">987</w:t>
      </w:r>
      <w:r>
        <w:rPr>
          <w:rStyle w:val="NormalTok"/>
        </w:rPr>
        <w:t xml:space="preserve"> </w:t>
      </w:r>
      <w:r>
        <w:rPr>
          <w:rStyle w:val="DecValTok"/>
        </w:rPr>
        <w:t xml:space="preserve">986</w:t>
      </w:r>
      <w:r>
        <w:rPr>
          <w:rStyle w:val="NormalTok"/>
        </w:rPr>
        <w:t xml:space="preserve"> </w:t>
      </w:r>
      <w:r>
        <w:rPr>
          <w:rStyle w:val="DecValTok"/>
        </w:rPr>
        <w:t xml:space="preserve">982</w:t>
      </w:r>
      <w:r>
        <w:rPr>
          <w:rStyle w:val="NormalTok"/>
        </w:rPr>
        <w:t xml:space="preserve"> </w:t>
      </w:r>
      <w:r>
        <w:rPr>
          <w:rStyle w:val="DecValTok"/>
        </w:rPr>
        <w:t xml:space="preserve">977</w:t>
      </w:r>
      <w:r>
        <w:rPr>
          <w:rStyle w:val="NormalTok"/>
        </w:rPr>
        <w:t xml:space="preserve"> </w:t>
      </w:r>
      <w:r>
        <w:rPr>
          <w:rStyle w:val="DecValTok"/>
        </w:rPr>
        <w:t xml:space="preserve">972</w:t>
      </w:r>
      <w:r>
        <w:rPr>
          <w:rStyle w:val="NormalTok"/>
        </w:rPr>
        <w:t xml:space="preserve"> </w:t>
      </w:r>
      <w:r>
        <w:rPr>
          <w:rStyle w:val="DecValTok"/>
        </w:rPr>
        <w:t xml:space="preserve">966</w:t>
      </w:r>
      <w:r>
        <w:rPr>
          <w:rStyle w:val="NormalTok"/>
        </w:rPr>
        <w:t xml:space="preserve"> </w:t>
      </w:r>
      <w:r>
        <w:rPr>
          <w:rStyle w:val="DecValTok"/>
        </w:rPr>
        <w:t xml:space="preserve">961</w:t>
      </w:r>
      <w:r>
        <w:rPr>
          <w:rStyle w:val="NormalTok"/>
        </w:rPr>
        <w:t xml:space="preserve"> </w:t>
      </w:r>
      <w:r>
        <w:rPr>
          <w:rStyle w:val="DecValTok"/>
        </w:rPr>
        <w:t xml:space="preserve">953</w:t>
      </w:r>
      <w:r>
        <w:rPr>
          <w:rStyle w:val="NormalTok"/>
        </w:rPr>
        <w:t xml:space="preserve"> </w:t>
      </w:r>
      <w:r>
        <w:rPr>
          <w:rStyle w:val="DecValTok"/>
        </w:rPr>
        <w:t xml:space="preserve">942</w:t>
      </w:r>
      <w:r>
        <w:rPr>
          <w:rStyle w:val="NormalTok"/>
        </w:rPr>
        <w:t xml:space="preserve"> </w:t>
      </w:r>
      <w:r>
        <w:rPr>
          <w:rStyle w:val="DecValTok"/>
        </w:rPr>
        <w:t xml:space="preserve">927</w:t>
      </w:r>
      <w:r>
        <w:rPr>
          <w:rStyle w:val="NormalTok"/>
        </w:rPr>
        <w:t xml:space="preserve"> </w:t>
      </w:r>
      <w:r>
        <w:rPr>
          <w:rStyle w:val="DecValTok"/>
        </w:rPr>
        <w:t xml:space="preserve">910</w:t>
      </w:r>
      <w:r>
        <w:rPr>
          <w:rStyle w:val="NormalTok"/>
        </w:rPr>
        <w:t xml:space="preserve"> </w:t>
      </w:r>
      <w:r>
        <w:rPr>
          <w:rStyle w:val="DecValTok"/>
        </w:rPr>
        <w:t xml:space="preserve">894</w:t>
      </w:r>
      <w:r>
        <w:rPr>
          <w:rStyle w:val="NormalTok"/>
        </w:rPr>
        <w:t xml:space="preserve"> </w:t>
      </w:r>
      <w:r>
        <w:rPr>
          <w:rStyle w:val="DecValTok"/>
        </w:rPr>
        <w:t xml:space="preserve">878</w:t>
      </w:r>
      <w:r>
        <w:rPr>
          <w:rStyle w:val="NormalTok"/>
        </w:rPr>
        <w:t xml:space="preserve"> </w:t>
      </w:r>
      <w:r>
        <w:rPr>
          <w:rStyle w:val="DecValTok"/>
        </w:rPr>
        <w:t xml:space="preserve">866</w:t>
      </w:r>
      <w:r>
        <w:br w:type="textWrapping"/>
      </w:r>
      <w:r>
        <w:rPr>
          <w:rStyle w:val="NormalTok"/>
        </w:rPr>
        <w:t xml:space="preserve">[</w:t>
      </w:r>
      <w:r>
        <w:rPr>
          <w:rStyle w:val="DecValTok"/>
        </w:rPr>
        <w:t xml:space="preserve">16</w:t>
      </w:r>
      <w:r>
        <w:rPr>
          <w:rStyle w:val="NormalTok"/>
        </w:rPr>
        <w:t xml:space="preserve">] </w:t>
      </w:r>
      <w:r>
        <w:rPr>
          <w:rStyle w:val="DecValTok"/>
        </w:rPr>
        <w:t xml:space="preserve">849</w:t>
      </w:r>
      <w:r>
        <w:rPr>
          <w:rStyle w:val="NormalTok"/>
        </w:rPr>
        <w:t xml:space="preserve"> </w:t>
      </w:r>
      <w:r>
        <w:rPr>
          <w:rStyle w:val="DecValTok"/>
        </w:rPr>
        <w:t xml:space="preserve">826</w:t>
      </w:r>
      <w:r>
        <w:rPr>
          <w:rStyle w:val="NormalTok"/>
        </w:rPr>
        <w:t xml:space="preserve"> </w:t>
      </w:r>
      <w:r>
        <w:rPr>
          <w:rStyle w:val="DecValTok"/>
        </w:rPr>
        <w:t xml:space="preserve">808</w:t>
      </w:r>
      <w:r>
        <w:rPr>
          <w:rStyle w:val="NormalTok"/>
        </w:rPr>
        <w:t xml:space="preserve"> </w:t>
      </w:r>
      <w:r>
        <w:rPr>
          <w:rStyle w:val="DecValTok"/>
        </w:rPr>
        <w:t xml:space="preserve">792</w:t>
      </w:r>
      <w:r>
        <w:rPr>
          <w:rStyle w:val="NormalTok"/>
        </w:rPr>
        <w:t xml:space="preserve"> </w:t>
      </w:r>
      <w:r>
        <w:rPr>
          <w:rStyle w:val="DecValTok"/>
        </w:rPr>
        <w:t xml:space="preserve">781</w:t>
      </w:r>
      <w:r>
        <w:rPr>
          <w:rStyle w:val="NormalTok"/>
        </w:rPr>
        <w:t xml:space="preserve"> </w:t>
      </w:r>
      <w:r>
        <w:rPr>
          <w:rStyle w:val="DecValTok"/>
        </w:rPr>
        <w:t xml:space="preserve">771</w:t>
      </w:r>
      <w:r>
        <w:rPr>
          <w:rStyle w:val="NormalTok"/>
        </w:rPr>
        <w:t xml:space="preserve"> </w:t>
      </w:r>
      <w:r>
        <w:rPr>
          <w:rStyle w:val="DecValTok"/>
        </w:rPr>
        <w:t xml:space="preserve">761</w:t>
      </w:r>
      <w:r>
        <w:rPr>
          <w:rStyle w:val="NormalTok"/>
        </w:rPr>
        <w:t xml:space="preserve"> </w:t>
      </w:r>
      <w:r>
        <w:rPr>
          <w:rStyle w:val="DecValTok"/>
        </w:rPr>
        <w:t xml:space="preserve">751</w:t>
      </w:r>
      <w:r>
        <w:rPr>
          <w:rStyle w:val="NormalTok"/>
        </w:rPr>
        <w:t xml:space="preserve"> </w:t>
      </w:r>
      <w:r>
        <w:rPr>
          <w:rStyle w:val="DecValTok"/>
        </w:rPr>
        <w:t xml:space="preserve">745</w:t>
      </w:r>
      <w:r>
        <w:rPr>
          <w:rStyle w:val="NormalTok"/>
        </w:rPr>
        <w:t xml:space="preserve"> </w:t>
      </w:r>
      <w:r>
        <w:rPr>
          <w:rStyle w:val="DecValTok"/>
        </w:rPr>
        <w:t xml:space="preserve">741</w:t>
      </w:r>
      <w:r>
        <w:rPr>
          <w:rStyle w:val="NormalTok"/>
        </w:rPr>
        <w:t xml:space="preserve"> </w:t>
      </w:r>
      <w:r>
        <w:rPr>
          <w:rStyle w:val="DecValTok"/>
        </w:rPr>
        <w:t xml:space="preserve">738</w:t>
      </w:r>
      <w:r>
        <w:rPr>
          <w:rStyle w:val="NormalTok"/>
        </w:rPr>
        <w:t xml:space="preserve"> </w:t>
      </w:r>
      <w:r>
        <w:rPr>
          <w:rStyle w:val="DecValTok"/>
        </w:rPr>
        <w:t xml:space="preserve">733</w:t>
      </w:r>
      <w:r>
        <w:rPr>
          <w:rStyle w:val="NormalTok"/>
        </w:rPr>
        <w:t xml:space="preserve"> </w:t>
      </w:r>
      <w:r>
        <w:rPr>
          <w:rStyle w:val="DecValTok"/>
        </w:rPr>
        <w:t xml:space="preserve">729</w:t>
      </w:r>
      <w:r>
        <w:rPr>
          <w:rStyle w:val="NormalTok"/>
        </w:rPr>
        <w:t xml:space="preserve"> </w:t>
      </w:r>
      <w:r>
        <w:rPr>
          <w:rStyle w:val="DecValTok"/>
        </w:rPr>
        <w:t xml:space="preserve">725</w:t>
      </w:r>
      <w:r>
        <w:rPr>
          <w:rStyle w:val="NormalTok"/>
        </w:rPr>
        <w:t xml:space="preserve"> </w:t>
      </w:r>
      <w:r>
        <w:rPr>
          <w:rStyle w:val="DecValTok"/>
        </w:rPr>
        <w:t xml:space="preserve">722</w:t>
      </w:r>
      <w:r>
        <w:br w:type="textWrapping"/>
      </w:r>
      <w:r>
        <w:rPr>
          <w:rStyle w:val="NormalTok"/>
        </w:rPr>
        <w:t xml:space="preserve">[</w:t>
      </w:r>
      <w:r>
        <w:rPr>
          <w:rStyle w:val="DecValTok"/>
        </w:rPr>
        <w:t xml:space="preserve">31</w:t>
      </w:r>
      <w:r>
        <w:rPr>
          <w:rStyle w:val="NormalTok"/>
        </w:rPr>
        <w:t xml:space="preserve">] </w:t>
      </w:r>
      <w:r>
        <w:rPr>
          <w:rStyle w:val="DecValTok"/>
        </w:rPr>
        <w:t xml:space="preserve">719</w:t>
      </w:r>
      <w:r>
        <w:rPr>
          <w:rStyle w:val="NormalTok"/>
        </w:rPr>
        <w:t xml:space="preserve"> </w:t>
      </w:r>
      <w:r>
        <w:rPr>
          <w:rStyle w:val="DecValTok"/>
        </w:rPr>
        <w:t xml:space="preserve">715</w:t>
      </w:r>
      <w:r>
        <w:rPr>
          <w:rStyle w:val="NormalTok"/>
        </w:rPr>
        <w:t xml:space="preserve"> </w:t>
      </w:r>
      <w:r>
        <w:rPr>
          <w:rStyle w:val="DecValTok"/>
        </w:rPr>
        <w:t xml:space="preserve">710</w:t>
      </w:r>
      <w:r>
        <w:rPr>
          <w:rStyle w:val="NormalTok"/>
        </w:rPr>
        <w:t xml:space="preserve"> </w:t>
      </w:r>
      <w:r>
        <w:rPr>
          <w:rStyle w:val="DecValTok"/>
        </w:rPr>
        <w:t xml:space="preserve">707</w:t>
      </w:r>
      <w:r>
        <w:rPr>
          <w:rStyle w:val="NormalTok"/>
        </w:rPr>
        <w:t xml:space="preserve"> </w:t>
      </w:r>
      <w:r>
        <w:rPr>
          <w:rStyle w:val="DecValTok"/>
        </w:rPr>
        <w:t xml:space="preserve">704</w:t>
      </w:r>
      <w:r>
        <w:rPr>
          <w:rStyle w:val="NormalTok"/>
        </w:rPr>
        <w:t xml:space="preserve"> </w:t>
      </w:r>
      <w:r>
        <w:rPr>
          <w:rStyle w:val="DecValTok"/>
        </w:rPr>
        <w:t xml:space="preserve">701</w:t>
      </w:r>
      <w:r>
        <w:rPr>
          <w:rStyle w:val="NormalTok"/>
        </w:rPr>
        <w:t xml:space="preserve"> </w:t>
      </w:r>
      <w:r>
        <w:rPr>
          <w:rStyle w:val="DecValTok"/>
        </w:rPr>
        <w:t xml:space="preserve">699</w:t>
      </w:r>
      <w:r>
        <w:rPr>
          <w:rStyle w:val="NormalTok"/>
        </w:rPr>
        <w:t xml:space="preserve"> </w:t>
      </w:r>
      <w:r>
        <w:rPr>
          <w:rStyle w:val="DecValTok"/>
        </w:rPr>
        <w:t xml:space="preserve">696</w:t>
      </w:r>
      <w:r>
        <w:rPr>
          <w:rStyle w:val="NormalTok"/>
        </w:rPr>
        <w:t xml:space="preserve"> </w:t>
      </w:r>
      <w:r>
        <w:rPr>
          <w:rStyle w:val="DecValTok"/>
        </w:rPr>
        <w:t xml:space="preserve">693</w:t>
      </w:r>
      <w:r>
        <w:rPr>
          <w:rStyle w:val="NormalTok"/>
        </w:rPr>
        <w:t xml:space="preserve"> </w:t>
      </w:r>
      <w:r>
        <w:rPr>
          <w:rStyle w:val="DecValTok"/>
        </w:rPr>
        <w:t xml:space="preserve">689</w:t>
      </w:r>
      <w:r>
        <w:rPr>
          <w:rStyle w:val="NormalTok"/>
        </w:rPr>
        <w:t xml:space="preserve"> </w:t>
      </w:r>
      <w:r>
        <w:rPr>
          <w:rStyle w:val="DecValTok"/>
        </w:rPr>
        <w:t xml:space="preserve">686</w:t>
      </w:r>
      <w:r>
        <w:rPr>
          <w:rStyle w:val="NormalTok"/>
        </w:rPr>
        <w:t xml:space="preserve"> </w:t>
      </w:r>
      <w:r>
        <w:rPr>
          <w:rStyle w:val="DecValTok"/>
        </w:rPr>
        <w:t xml:space="preserve">685</w:t>
      </w:r>
      <w:r>
        <w:rPr>
          <w:rStyle w:val="NormalTok"/>
        </w:rPr>
        <w:t xml:space="preserve"> </w:t>
      </w:r>
      <w:r>
        <w:rPr>
          <w:rStyle w:val="DecValTok"/>
        </w:rPr>
        <w:t xml:space="preserve">683</w:t>
      </w:r>
      <w:r>
        <w:rPr>
          <w:rStyle w:val="NormalTok"/>
        </w:rPr>
        <w:t xml:space="preserve"> </w:t>
      </w:r>
      <w:r>
        <w:rPr>
          <w:rStyle w:val="DecValTok"/>
        </w:rPr>
        <w:t xml:space="preserve">682</w:t>
      </w:r>
      <w:r>
        <w:rPr>
          <w:rStyle w:val="NormalTok"/>
        </w:rPr>
        <w:t xml:space="preserve"> </w:t>
      </w:r>
      <w:r>
        <w:rPr>
          <w:rStyle w:val="DecValTok"/>
        </w:rPr>
        <w:t xml:space="preserve">681</w:t>
      </w:r>
      <w:r>
        <w:br w:type="textWrapping"/>
      </w:r>
      <w:r>
        <w:rPr>
          <w:rStyle w:val="NormalTok"/>
        </w:rPr>
        <w:t xml:space="preserve">[</w:t>
      </w:r>
      <w:r>
        <w:rPr>
          <w:rStyle w:val="DecValTok"/>
        </w:rPr>
        <w:t xml:space="preserve">46</w:t>
      </w:r>
      <w:r>
        <w:rPr>
          <w:rStyle w:val="NormalTok"/>
        </w:rPr>
        <w:t xml:space="preserve">] </w:t>
      </w:r>
      <w:r>
        <w:rPr>
          <w:rStyle w:val="DecValTok"/>
        </w:rPr>
        <w:t xml:space="preserve">679</w:t>
      </w:r>
      <w:r>
        <w:rPr>
          <w:rStyle w:val="NormalTok"/>
        </w:rPr>
        <w:t xml:space="preserve"> </w:t>
      </w:r>
      <w:r>
        <w:rPr>
          <w:rStyle w:val="DecValTok"/>
        </w:rPr>
        <w:t xml:space="preserve">678</w:t>
      </w:r>
      <w:r>
        <w:rPr>
          <w:rStyle w:val="NormalTok"/>
        </w:rPr>
        <w:t xml:space="preserve"> </w:t>
      </w:r>
      <w:r>
        <w:rPr>
          <w:rStyle w:val="DecValTok"/>
        </w:rPr>
        <w:t xml:space="preserve">676</w:t>
      </w:r>
      <w:r>
        <w:rPr>
          <w:rStyle w:val="NormalTok"/>
        </w:rPr>
        <w:t xml:space="preserve"> </w:t>
      </w:r>
      <w:r>
        <w:rPr>
          <w:rStyle w:val="DecValTok"/>
        </w:rPr>
        <w:t xml:space="preserve">676</w:t>
      </w:r>
      <w:r>
        <w:rPr>
          <w:rStyle w:val="NormalTok"/>
        </w:rPr>
        <w:t xml:space="preserve"> </w:t>
      </w:r>
      <w:r>
        <w:rPr>
          <w:rStyle w:val="DecValTok"/>
        </w:rPr>
        <w:t xml:space="preserve">676</w:t>
      </w:r>
    </w:p>
    <w:p>
      <w:pPr>
        <w:pStyle w:val="FirstParagraph"/>
      </w:pPr>
      <w:r>
        <w:t xml:space="preserve">In the process, the code accounts for the possibility of order-randomized Loop &amp; Merge iterates by appropriately reordering the coordinate and time data. The outcome measures are computed for each subject and appended to the wide-format dataset. By default, our analysis code defines the time variable as the time elapsed from the beginning of each trial, specifically the time at which the page was loaded. Note that if the trajectories are to be directly averaged rather than used to compute the outcome measures we describe, the times should be standardized to account for differences in the times elapsed for each trial</w:t>
      </w:r>
      <w:r>
        <w:t xml:space="preserve"> </w:t>
      </w:r>
      <w:r>
        <w:t xml:space="preserve">(Freeman &amp; Ambady, 2010)</w:t>
      </w:r>
      <w:r>
        <w:t xml:space="preserve">. This can be accomplished simply by passing the argument</w:t>
      </w:r>
      <w:r>
        <w:t xml:space="preserve"> </w:t>
      </w:r>
      <w:r>
        <w:rPr>
          <w:rStyle w:val="VerbatimChar"/>
        </w:rPr>
        <w:t xml:space="preserve">rescale = TRUE</w:t>
      </w:r>
      <w:r>
        <w:t xml:space="preserve"> </w:t>
      </w:r>
      <w:r>
        <w:t xml:space="preserve">to the function</w:t>
      </w:r>
      <w:r>
        <w:t xml:space="preserve"> </w:t>
      </w:r>
      <w:r>
        <w:rPr>
          <w:rStyle w:val="VerbatimChar"/>
        </w:rPr>
        <w:t xml:space="preserve">get_subject_lists</w:t>
      </w:r>
      <w:r>
        <w:t xml:space="preserve"> </w:t>
      </w:r>
      <w:r>
        <w:t xml:space="preserve">when parsing the time data. Additional outcome measures, such as trajectory curvature</w:t>
      </w:r>
      <w:r>
        <w:t xml:space="preserve"> </w:t>
      </w:r>
      <w:r>
        <w:t xml:space="preserve">(Dale et al., 2007; Kieslich &amp; Hilbig, 2014; Wojnowicz et al., 2009)</w:t>
      </w:r>
      <w:r>
        <w:t xml:space="preserve"> </w:t>
      </w:r>
      <w:r>
        <w:t xml:space="preserve">or speed profiles throughout a trial</w:t>
      </w:r>
      <w:r>
        <w:t xml:space="preserve"> </w:t>
      </w:r>
      <w:r>
        <w:t xml:space="preserve">(Freeman et al., 2016)</w:t>
      </w:r>
      <w:r>
        <w:t xml:space="preserve">, could also be easily calculated from the raw coordinate data supplied by the provided R scripts. Finally, the dataset is reshaped into an analysis-friendly long format, such that there is one row for each trial rather than for each subject:</w:t>
      </w:r>
    </w:p>
    <w:p>
      <w:pPr>
        <w:pStyle w:val="SourceCode"/>
      </w:pPr>
      <w:r>
        <w:rPr>
          <w:rStyle w:val="NormalTok"/>
        </w:rPr>
        <w:t xml:space="preserve">  id   cat xflips  xdev   area   speed rxnt </w:t>
      </w:r>
      <w:r>
        <w:br w:type="textWrapping"/>
      </w:r>
      <w:r>
        <w:rPr>
          <w:rStyle w:val="DecValTok"/>
        </w:rPr>
        <w:t xml:space="preserve">1</w:t>
      </w:r>
      <w:r>
        <w:rPr>
          <w:rStyle w:val="NormalTok"/>
        </w:rPr>
        <w:t xml:space="preserve">  </w:t>
      </w:r>
      <w:r>
        <w:rPr>
          <w:rStyle w:val="DecValTok"/>
        </w:rPr>
        <w:t xml:space="preserve">1</w:t>
      </w:r>
      <w:r>
        <w:rPr>
          <w:rStyle w:val="NormalTok"/>
        </w:rPr>
        <w:t xml:space="preserve"> Robot      </w:t>
      </w:r>
      <w:r>
        <w:rPr>
          <w:rStyle w:val="DecValTok"/>
        </w:rPr>
        <w:t xml:space="preserve">0</w:t>
      </w:r>
      <w:r>
        <w:rPr>
          <w:rStyle w:val="NormalTok"/>
        </w:rPr>
        <w:t xml:space="preserve"> </w:t>
      </w:r>
      <w:r>
        <w:rPr>
          <w:rStyle w:val="FloatTok"/>
        </w:rPr>
        <w:t xml:space="preserve">0.132</w:t>
      </w:r>
      <w:r>
        <w:rPr>
          <w:rStyle w:val="NormalTok"/>
        </w:rPr>
        <w:t xml:space="preserve"> </w:t>
      </w:r>
      <w:r>
        <w:rPr>
          <w:rStyle w:val="FloatTok"/>
        </w:rPr>
        <w:t xml:space="preserve">0.0599</w:t>
      </w:r>
      <w:r>
        <w:rPr>
          <w:rStyle w:val="NormalTok"/>
        </w:rPr>
        <w:t xml:space="preserve"> </w:t>
      </w:r>
      <w:r>
        <w:rPr>
          <w:rStyle w:val="FloatTok"/>
        </w:rPr>
        <w:t xml:space="preserve">0.00295</w:t>
      </w:r>
      <w:r>
        <w:rPr>
          <w:rStyle w:val="NormalTok"/>
        </w:rPr>
        <w:t xml:space="preserve"> </w:t>
      </w:r>
      <w:r>
        <w:rPr>
          <w:rStyle w:val="DecValTok"/>
        </w:rPr>
        <w:t xml:space="preserve">1048</w:t>
      </w:r>
      <w:r>
        <w:rPr>
          <w:rStyle w:val="NormalTok"/>
        </w:rPr>
        <w:t xml:space="preserve">         </w:t>
      </w:r>
      <w:r>
        <w:br w:type="textWrapping"/>
      </w:r>
      <w:r>
        <w:rPr>
          <w:rStyle w:val="DecValTok"/>
        </w:rPr>
        <w:t xml:space="preserve">2</w:t>
      </w:r>
      <w:r>
        <w:rPr>
          <w:rStyle w:val="NormalTok"/>
        </w:rPr>
        <w:t xml:space="preserve">  </w:t>
      </w:r>
      <w:r>
        <w:rPr>
          <w:rStyle w:val="DecValTok"/>
        </w:rPr>
        <w:t xml:space="preserve">2</w:t>
      </w:r>
      <w:r>
        <w:rPr>
          <w:rStyle w:val="NormalTok"/>
        </w:rPr>
        <w:t xml:space="preserve"> Robot      </w:t>
      </w:r>
      <w:r>
        <w:rPr>
          <w:rStyle w:val="DecValTok"/>
        </w:rPr>
        <w:t xml:space="preserve">0</w:t>
      </w:r>
      <w:r>
        <w:rPr>
          <w:rStyle w:val="NormalTok"/>
        </w:rPr>
        <w:t xml:space="preserve"> </w:t>
      </w:r>
      <w:r>
        <w:rPr>
          <w:rStyle w:val="FloatTok"/>
        </w:rPr>
        <w:t xml:space="preserve">0.112</w:t>
      </w:r>
      <w:r>
        <w:rPr>
          <w:rStyle w:val="NormalTok"/>
        </w:rPr>
        <w:t xml:space="preserve"> </w:t>
      </w:r>
      <w:r>
        <w:rPr>
          <w:rStyle w:val="FloatTok"/>
        </w:rPr>
        <w:t xml:space="preserve">0.0577</w:t>
      </w:r>
      <w:r>
        <w:rPr>
          <w:rStyle w:val="NormalTok"/>
        </w:rPr>
        <w:t xml:space="preserve"> </w:t>
      </w:r>
      <w:r>
        <w:rPr>
          <w:rStyle w:val="FloatTok"/>
        </w:rPr>
        <w:t xml:space="preserve">0.00906</w:t>
      </w:r>
      <w:r>
        <w:rPr>
          <w:rStyle w:val="NormalTok"/>
        </w:rPr>
        <w:t xml:space="preserve">  </w:t>
      </w:r>
      <w:r>
        <w:rPr>
          <w:rStyle w:val="DecValTok"/>
        </w:rPr>
        <w:t xml:space="preserve">701</w:t>
      </w:r>
      <w:r>
        <w:rPr>
          <w:rStyle w:val="NormalTok"/>
        </w:rPr>
        <w:t xml:space="preserve">         </w:t>
      </w:r>
      <w:r>
        <w:br w:type="textWrapping"/>
      </w:r>
      <w:r>
        <w:rPr>
          <w:rStyle w:val="DecValTok"/>
        </w:rPr>
        <w:t xml:space="preserve">3</w:t>
      </w:r>
      <w:r>
        <w:rPr>
          <w:rStyle w:val="NormalTok"/>
        </w:rPr>
        <w:t xml:space="preserve">  </w:t>
      </w:r>
      <w:r>
        <w:rPr>
          <w:rStyle w:val="DecValTok"/>
        </w:rPr>
        <w:t xml:space="preserve">3</w:t>
      </w:r>
      <w:r>
        <w:rPr>
          <w:rStyle w:val="NormalTok"/>
        </w:rPr>
        <w:t xml:space="preserve"> Robot      </w:t>
      </w:r>
      <w:r>
        <w:rPr>
          <w:rStyle w:val="DecValTok"/>
        </w:rPr>
        <w:t xml:space="preserve">1</w:t>
      </w:r>
      <w:r>
        <w:rPr>
          <w:rStyle w:val="NormalTok"/>
        </w:rPr>
        <w:t xml:space="preserve"> </w:t>
      </w:r>
      <w:r>
        <w:rPr>
          <w:rStyle w:val="FloatTok"/>
        </w:rPr>
        <w:t xml:space="preserve">0.225</w:t>
      </w:r>
      <w:r>
        <w:rPr>
          <w:rStyle w:val="NormalTok"/>
        </w:rPr>
        <w:t xml:space="preserve"> </w:t>
      </w:r>
      <w:r>
        <w:rPr>
          <w:rStyle w:val="FloatTok"/>
        </w:rPr>
        <w:t xml:space="preserve">0.1638</w:t>
      </w:r>
      <w:r>
        <w:rPr>
          <w:rStyle w:val="NormalTok"/>
        </w:rPr>
        <w:t xml:space="preserve"> </w:t>
      </w:r>
      <w:r>
        <w:rPr>
          <w:rStyle w:val="FloatTok"/>
        </w:rPr>
        <w:t xml:space="preserve">0.00776</w:t>
      </w:r>
      <w:r>
        <w:rPr>
          <w:rStyle w:val="NormalTok"/>
        </w:rPr>
        <w:t xml:space="preserve"> </w:t>
      </w:r>
      <w:r>
        <w:rPr>
          <w:rStyle w:val="DecValTok"/>
        </w:rPr>
        <w:t xml:space="preserve">1184</w:t>
      </w:r>
      <w:r>
        <w:rPr>
          <w:rStyle w:val="NormalTok"/>
        </w:rPr>
        <w:t xml:space="preserve">         </w:t>
      </w:r>
      <w:r>
        <w:br w:type="textWrapping"/>
      </w:r>
      <w:r>
        <w:rPr>
          <w:rStyle w:val="DecValTok"/>
        </w:rPr>
        <w:t xml:space="preserve">4</w:t>
      </w:r>
      <w:r>
        <w:rPr>
          <w:rStyle w:val="NormalTok"/>
        </w:rPr>
        <w:t xml:space="preserve">  </w:t>
      </w:r>
      <w:r>
        <w:rPr>
          <w:rStyle w:val="DecValTok"/>
        </w:rPr>
        <w:t xml:space="preserve">4</w:t>
      </w:r>
      <w:r>
        <w:rPr>
          <w:rStyle w:val="NormalTok"/>
        </w:rPr>
        <w:t xml:space="preserve"> Robot      </w:t>
      </w:r>
      <w:r>
        <w:rPr>
          <w:rStyle w:val="DecValTok"/>
        </w:rPr>
        <w:t xml:space="preserve">2</w:t>
      </w:r>
      <w:r>
        <w:rPr>
          <w:rStyle w:val="NormalTok"/>
        </w:rPr>
        <w:t xml:space="preserve"> </w:t>
      </w:r>
      <w:r>
        <w:rPr>
          <w:rStyle w:val="FloatTok"/>
        </w:rPr>
        <w:t xml:space="preserve">0.266</w:t>
      </w:r>
      <w:r>
        <w:rPr>
          <w:rStyle w:val="NormalTok"/>
        </w:rPr>
        <w:t xml:space="preserve"> </w:t>
      </w:r>
      <w:r>
        <w:rPr>
          <w:rStyle w:val="FloatTok"/>
        </w:rPr>
        <w:t xml:space="preserve">0.1473</w:t>
      </w:r>
      <w:r>
        <w:rPr>
          <w:rStyle w:val="NormalTok"/>
        </w:rPr>
        <w:t xml:space="preserve"> </w:t>
      </w:r>
      <w:r>
        <w:rPr>
          <w:rStyle w:val="FloatTok"/>
        </w:rPr>
        <w:t xml:space="preserve">0.00328</w:t>
      </w:r>
      <w:r>
        <w:rPr>
          <w:rStyle w:val="NormalTok"/>
        </w:rPr>
        <w:t xml:space="preserve"> </w:t>
      </w:r>
      <w:r>
        <w:rPr>
          <w:rStyle w:val="DecValTok"/>
        </w:rPr>
        <w:t xml:space="preserve">2022</w:t>
      </w:r>
      <w:r>
        <w:rPr>
          <w:rStyle w:val="NormalTok"/>
        </w:rPr>
        <w:t xml:space="preserve">         </w:t>
      </w:r>
      <w:r>
        <w:br w:type="textWrapping"/>
      </w:r>
      <w:r>
        <w:rPr>
          <w:rStyle w:val="DecValTok"/>
        </w:rPr>
        <w:t xml:space="preserve">5</w:t>
      </w:r>
      <w:r>
        <w:rPr>
          <w:rStyle w:val="NormalTok"/>
        </w:rPr>
        <w:t xml:space="preserve">  </w:t>
      </w:r>
      <w:r>
        <w:rPr>
          <w:rStyle w:val="DecValTok"/>
        </w:rPr>
        <w:t xml:space="preserve">5</w:t>
      </w:r>
      <w:r>
        <w:rPr>
          <w:rStyle w:val="NormalTok"/>
        </w:rPr>
        <w:t xml:space="preserve"> Robot      </w:t>
      </w:r>
      <w:r>
        <w:rPr>
          <w:rStyle w:val="DecValTok"/>
        </w:rPr>
        <w:t xml:space="preserve">2</w:t>
      </w:r>
      <w:r>
        <w:rPr>
          <w:rStyle w:val="NormalTok"/>
        </w:rPr>
        <w:t xml:space="preserve"> </w:t>
      </w:r>
      <w:r>
        <w:rPr>
          <w:rStyle w:val="FloatTok"/>
        </w:rPr>
        <w:t xml:space="preserve">0.254</w:t>
      </w:r>
      <w:r>
        <w:rPr>
          <w:rStyle w:val="NormalTok"/>
        </w:rPr>
        <w:t xml:space="preserve"> </w:t>
      </w:r>
      <w:r>
        <w:rPr>
          <w:rStyle w:val="FloatTok"/>
        </w:rPr>
        <w:t xml:space="preserve">0.1129</w:t>
      </w:r>
      <w:r>
        <w:rPr>
          <w:rStyle w:val="NormalTok"/>
        </w:rPr>
        <w:t xml:space="preserve"> </w:t>
      </w:r>
      <w:r>
        <w:rPr>
          <w:rStyle w:val="FloatTok"/>
        </w:rPr>
        <w:t xml:space="preserve">0.00655</w:t>
      </w:r>
      <w:r>
        <w:rPr>
          <w:rStyle w:val="NormalTok"/>
        </w:rPr>
        <w:t xml:space="preserve"> </w:t>
      </w:r>
      <w:r>
        <w:rPr>
          <w:rStyle w:val="DecValTok"/>
        </w:rPr>
        <w:t xml:space="preserve">1410</w:t>
      </w:r>
      <w:r>
        <w:rPr>
          <w:rStyle w:val="NormalTok"/>
        </w:rPr>
        <w:t xml:space="preserve">         </w:t>
      </w:r>
      <w:r>
        <w:br w:type="textWrapping"/>
      </w:r>
      <w:r>
        <w:rPr>
          <w:rStyle w:val="DecValTok"/>
        </w:rPr>
        <w:t xml:space="preserve">6</w:t>
      </w:r>
      <w:r>
        <w:rPr>
          <w:rStyle w:val="NormalTok"/>
        </w:rPr>
        <w:t xml:space="preserve">  </w:t>
      </w:r>
      <w:r>
        <w:rPr>
          <w:rStyle w:val="DecValTok"/>
        </w:rPr>
        <w:t xml:space="preserve">6</w:t>
      </w:r>
      <w:r>
        <w:rPr>
          <w:rStyle w:val="NormalTok"/>
        </w:rPr>
        <w:t xml:space="preserve"> Robot      </w:t>
      </w:r>
      <w:r>
        <w:rPr>
          <w:rStyle w:val="DecValTok"/>
        </w:rPr>
        <w:t xml:space="preserve">2</w:t>
      </w:r>
      <w:r>
        <w:rPr>
          <w:rStyle w:val="NormalTok"/>
        </w:rPr>
        <w:t xml:space="preserve"> </w:t>
      </w:r>
      <w:r>
        <w:rPr>
          <w:rStyle w:val="FloatTok"/>
        </w:rPr>
        <w:t xml:space="preserve">0.254</w:t>
      </w:r>
      <w:r>
        <w:rPr>
          <w:rStyle w:val="NormalTok"/>
        </w:rPr>
        <w:t xml:space="preserve"> </w:t>
      </w:r>
      <w:r>
        <w:rPr>
          <w:rStyle w:val="FloatTok"/>
        </w:rPr>
        <w:t xml:space="preserve">0.1180</w:t>
      </w:r>
      <w:r>
        <w:rPr>
          <w:rStyle w:val="NormalTok"/>
        </w:rPr>
        <w:t xml:space="preserve"> </w:t>
      </w:r>
      <w:r>
        <w:rPr>
          <w:rStyle w:val="FloatTok"/>
        </w:rPr>
        <w:t xml:space="preserve">0.01493</w:t>
      </w:r>
      <w:r>
        <w:rPr>
          <w:rStyle w:val="NormalTok"/>
        </w:rPr>
        <w:t xml:space="preserve"> </w:t>
      </w:r>
      <w:r>
        <w:rPr>
          <w:rStyle w:val="DecValTok"/>
        </w:rPr>
        <w:t xml:space="preserve">1037</w:t>
      </w:r>
      <w:r>
        <w:rPr>
          <w:rStyle w:val="NormalTok"/>
        </w:rPr>
        <w:t xml:space="preserve">         </w:t>
      </w:r>
    </w:p>
    <w:p>
      <w:pPr>
        <w:pStyle w:val="FirstParagraph"/>
      </w:pPr>
      <w:r>
        <w:t xml:space="preserve">(Note that the outcome measures are computed using rescaled trajectories, so are unitless.) The code also prints information about alert messages displayed to subjects (discussed in the next section). Although analysis methods will differ by substantive application, we provide an example R file,</w:t>
      </w:r>
      <w:r>
        <w:t xml:space="preserve"> </w:t>
      </w:r>
      <w:r>
        <w:t xml:space="preserve">, which conducts the analyses described in Section</w:t>
      </w:r>
      <w:r>
        <w:t xml:space="preserve"> </w:t>
      </w:r>
      <w:r>
        <w:t xml:space="preserve"> </w:t>
      </w:r>
      <w:r>
        <w:t xml:space="preserve">below.</w:t>
      </w:r>
    </w:p>
    <w:p>
      <w:pPr>
        <w:pStyle w:val="BodyText"/>
      </w:pPr>
      <w:r>
        <w:t xml:space="preserve">If subjects sometimes make their category decisions prior to moving their mouse cursors – that is, if they wait to begin moving their cursors until they have already made a decision – then their mouse trajectories may begin too late to capture dynamic category competition</w:t>
      </w:r>
      <w:r>
        <w:t xml:space="preserve"> </w:t>
      </w:r>
      <w:r>
        <w:t xml:space="preserve">(Freeman et al., 2016)</w:t>
      </w:r>
      <w:r>
        <w:t xml:space="preserve">. For this reason, at the end of each trial in which the subject took more than 700 ms (by default) to begin moving the cursor, the questionnaire issues a</w:t>
      </w:r>
      <w:r>
        <w:t xml:space="preserve"> </w:t>
      </w:r>
      <w:r>
        <w:t xml:space="preserve">“</w:t>
      </w:r>
      <w:r>
        <w:t xml:space="preserve">started too late</w:t>
      </w:r>
      <w:r>
        <w:t xml:space="preserve">”</w:t>
      </w:r>
      <w:r>
        <w:t xml:space="preserve"> </w:t>
      </w:r>
      <w:r>
        <w:t xml:space="preserve">alert warning the subject to begin moving the cursor faster at the beginning of each trial. Additionally, to encourage fast decision-making and discourage subjects from taking unscheduled breaks from the experiment, after any trial in which the subject takes longer than 5000 ms (by default) to make a category decision, the questionnaire issues a</w:t>
      </w:r>
      <w:r>
        <w:t xml:space="preserve"> </w:t>
      </w:r>
      <w:r>
        <w:t xml:space="preserve">“</w:t>
      </w:r>
      <w:r>
        <w:t xml:space="preserve">took too long</w:t>
      </w:r>
      <w:r>
        <w:t xml:space="preserve">”</w:t>
      </w:r>
      <w:r>
        <w:t xml:space="preserve"> </w:t>
      </w:r>
      <w:r>
        <w:t xml:space="preserve">alert reminding the subject to answer more quickly</w:t>
      </w:r>
      <w:r>
        <w:t xml:space="preserve"> </w:t>
      </w:r>
      <w:r>
        <w:t xml:space="preserve">(Freeman et al., 2016)</w:t>
      </w:r>
      <w:r>
        <w:t xml:space="preserve">. Some investigators choose not to limit total response time (e.g.,</w:t>
      </w:r>
      <w:r>
        <w:t xml:space="preserve"> </w:t>
      </w:r>
      <w:r>
        <w:t xml:space="preserve">Kieslich &amp; Hilbig (2014)</w:t>
      </w:r>
      <w:r>
        <w:t xml:space="preserve">), in which case the parameter</w:t>
      </w:r>
      <w:r>
        <w:t xml:space="preserve"> </w:t>
      </w:r>
      <w:r>
        <w:t xml:space="preserve"> </w:t>
      </w:r>
      <w:r>
        <w:t xml:space="preserve">could simply be set to a very large value, such as 50,000 ms. To avoid disrupting the subject’s behavior during the trial, all alerts are recorded when they are triggered, but are not displayed until after the subject selects a category button, but before the subject clicks the Next button to proceed to the next trial. Alert data are recorded for each trial, allowing the investigator to exclude trials or subjects receiving certain types of alerts if desired. The full text of all alert messages appears in Appendix Section</w:t>
      </w:r>
      <w:r>
        <w:t xml:space="preserve"> </w:t>
      </w:r>
      <w:r>
        <w:t xml:space="preserve">.</w:t>
      </w:r>
    </w:p>
    <w:p>
      <w:pPr>
        <w:pStyle w:val="BodyText"/>
      </w:pPr>
      <w:r>
        <w:t xml:space="preserve">As mentioned, allowing subjects to complete the experiment on their own devices, rather than in a controlled lab setting, poses several challenges to collecting reliable and precise mouse-tracking data. For example, the software cannot precisely position the subject’s cursor at the start of each trial; browsers do not provide this functionality to avoid the possibility of malicious misuse. Furthermore, the experiment interface is displayed with the same pixel dimensions for every subject and trial, regardless of the size and resolution of each subject’s screen, potentially yielding interfaces of somewhat differing visual sizes for different subjects. Fixing the visual size, rather than the pixel dimensions, of the experiment interface across subjects was not feasible because the survey software does not have reliable access to data on each subject’s screen size and resolution. Additionally, if subjects attempted to complete the experiment with a browser window that is smaller than the size of the the experiment interface (for example, because their device’s screen is physically too small), then they might have to scroll in the middle of each trial, leading to non-continuous mouse trajectories and erroneous reaction times.</w:t>
      </w:r>
    </w:p>
    <w:p>
      <w:pPr>
        <w:pStyle w:val="BodyText"/>
      </w:pPr>
      <w:r>
        <w:t xml:space="preserve">Our Javascript implementation addresses each of these possibilities. To ensure that the cursor starts in an approximately fixed location, the Next button, which is the necessary ending point for the cursor on every trial, is positioned in the same location on every trial. Furthermore, if the subject moves the cursor away from this position before the next trial begins (i.e., while the page is loading), the questionnaire issues a</w:t>
      </w:r>
      <w:r>
        <w:t xml:space="preserve"> </w:t>
      </w:r>
      <w:r>
        <w:t xml:space="preserve">“</w:t>
      </w:r>
      <w:r>
        <w:t xml:space="preserve">started too early</w:t>
      </w:r>
      <w:r>
        <w:t xml:space="preserve">”</w:t>
      </w:r>
      <w:r>
        <w:t xml:space="preserve"> </w:t>
      </w:r>
      <w:r>
        <w:t xml:space="preserve">alert warning the subject not to begin moving the cursor before the page is loaded. During the first training trial, the code checks the pixel dimensions of the subject’s browser window, and if the window is smaller than the expected pixel dimensions of the experiment interface, the questionnaire issues an alert instructing the subject to increase the window size until the stimulus image, both radio buttons, and the submit button are fully visible. On subsequent trials, the subject’s ability to scroll is disabled, such that subjects using devices with too-small screens or browser windows will not have access to the Next button and will thus be unable to proceed through the experiment.</w:t>
      </w:r>
    </w:p>
    <w:p>
      <w:pPr>
        <w:pStyle w:val="BodyText"/>
      </w:pPr>
      <w:r>
        <w:t xml:space="preserve">As mentioned above, the use of fixed pixel dimensions does not guarantee that the visual distance between the buttons will be the same for every subject due to the many possible combinations of different physical dimensions of computer monitors and different pixel-per-inch resolutions. In addition, some subjects might use their browser’s zoom function, changing both the pixel distances and the visual distances. Therefore, our R analysis code by default rescales all trajectories to unit length in both the</w:t>
      </w:r>
      <w:r>
        <w:t xml:space="preserve"> </w:t>
      </w:r>
      <m:oMath>
        <m:r>
          <m:t>x</m:t>
        </m:r>
      </m:oMath>
      <w:r>
        <w:t xml:space="preserve">- and</w:t>
      </w:r>
      <w:r>
        <w:t xml:space="preserve"> </w:t>
      </w:r>
      <m:oMath>
        <m:r>
          <m:t>y</m:t>
        </m:r>
      </m:oMath>
      <w:r>
        <w:t xml:space="preserve">-dimensions. However, the validation study described in Section</w:t>
      </w:r>
      <w:r>
        <w:t xml:space="preserve"> </w:t>
      </w:r>
      <w:r>
        <w:t xml:space="preserve"> </w:t>
      </w:r>
      <w:r>
        <w:t xml:space="preserve">below suggested subjects with trajectories suggesting non-standard pixel scaling due, for example, to zooming typically showed larger values of the outcome measures, even after the trajectories had been rescaled to unit length. Importantly, despite these mean differences on the outcome measures, the key stimulus ambiguity effects were comparable between subjects with non-standard pixel scaling and subjects with standard pixel scaling. In practice, then, investigators might choose to simply adjust analysis models for covariates indicating whether a subject had non-standard pixel scaling (operationalized as having unexpectedly large or small pixel distances between the starting and ending</w:t>
      </w:r>
      <w:r>
        <w:t xml:space="preserve"> </w:t>
      </w:r>
      <m:oMath>
        <m:r>
          <m:t>x</m:t>
        </m:r>
      </m:oMath>
      <w:r>
        <w:t xml:space="preserve">-coordinates) and whether a subject had ever had a too-small window; this is the approach we adopt in the validation study. Alternatively, such subjects could simply be excluded. The provided R code automatically includes these two indicator variables (called</w:t>
      </w:r>
      <w:r>
        <w:t xml:space="preserve"> </w:t>
      </w:r>
      <w:r>
        <w:rPr>
          <w:rStyle w:val="VerbatimChar"/>
        </w:rPr>
        <w:t xml:space="preserve">weird.scaling</w:t>
      </w:r>
      <w:r>
        <w:t xml:space="preserve"> </w:t>
      </w:r>
      <w:r>
        <w:t xml:space="preserve">and</w:t>
      </w:r>
      <w:r>
        <w:t xml:space="preserve"> </w:t>
      </w:r>
      <w:r>
        <w:rPr>
          <w:rStyle w:val="VerbatimChar"/>
        </w:rPr>
        <w:t xml:space="preserve">wts</w:t>
      </w:r>
      <w:r>
        <w:t xml:space="preserve">, respectively) in the prepared long-format dataset.</w:t>
      </w:r>
    </w:p>
    <w:p>
      <w:pPr>
        <w:pStyle w:val="BodyText"/>
      </w:pPr>
      <w:r>
        <w:t xml:space="preserve">Our implementation has limitations. Occasional idiosyncrasies (e.g., extremely poor quality connections, use of proxy servers) can cause losses of coordinate data for some trials or subjects. Our R code automatically checks for subjects with these data losses and creates a list of subject IDs that should be excluded, along with reasons for exclusion. The validation study presented below suggested that these issues affect a small fraction of trials for approximately 10% of subjects when data are collected in an uncontrolled crowdsourcing setting. A conservative analysis approach, which we adopt in the validation study, could be to exclude every subject with data losses on any trial. Additionally, although our implementation performs reliably across all common browsers, it is incompatible with Internet Explorer; subjects running Internet Explorer will be unable to proceed through the questionnaire, and no data will be collected. (At present, Internet Explorer has only a 3% share of browser usage worldwide</w:t>
      </w:r>
      <w:r>
        <w:t xml:space="preserve"> </w:t>
      </w:r>
      <w:r>
        <w:t xml:space="preserve">(“Browser market share worldwide,” 2018)</w:t>
      </w:r>
      <w:r>
        <w:t xml:space="preserve">.) Finally, subjects with very slow Internet connections, causing image stimuli to load slowly, may receive a large number of</w:t>
      </w:r>
      <w:r>
        <w:t xml:space="preserve"> </w:t>
      </w:r>
      <w:r>
        <w:t xml:space="preserve">“</w:t>
      </w:r>
      <w:r>
        <w:t xml:space="preserve">started too late</w:t>
      </w:r>
      <w:r>
        <w:t xml:space="preserve">”</w:t>
      </w:r>
      <w:r>
        <w:t xml:space="preserve"> </w:t>
      </w:r>
      <w:r>
        <w:t xml:space="preserve">alerts, although their data will otherwise be useable. In practice, subjects with a high frequency of</w:t>
      </w:r>
      <w:r>
        <w:t xml:space="preserve"> </w:t>
      </w:r>
      <w:r>
        <w:t xml:space="preserve">“</w:t>
      </w:r>
      <w:r>
        <w:t xml:space="preserve">started too late</w:t>
      </w:r>
      <w:r>
        <w:t xml:space="preserve">”</w:t>
      </w:r>
      <w:r>
        <w:t xml:space="preserve"> </w:t>
      </w:r>
      <w:r>
        <w:t xml:space="preserve">alerts could be discarded if this were of concern.</w:t>
      </w:r>
    </w:p>
    <w:p>
      <w:pPr>
        <w:pStyle w:val="BodyText"/>
      </w:pPr>
      <w:r>
        <w:t xml:space="preserve">To validate the provided software, we used it to perform a simple category confusion experiment using image stimuli depicting the faces of humanoid robots ranging from very mechanical to very humanlike. Previous work (e.g.,</w:t>
      </w:r>
      <w:r>
        <w:t xml:space="preserve"> </w:t>
      </w:r>
      <w:r>
        <w:t xml:space="preserve">Mathur &amp; Reichling (2016)</w:t>
      </w:r>
      <w:r>
        <w:t xml:space="preserve">,</w:t>
      </w:r>
      <w:r>
        <w:t xml:space="preserve"> </w:t>
      </w:r>
      <w:r>
        <w:t xml:space="preserve">Mathur &amp; Reichling (2009)</w:t>
      </w:r>
      <w:r>
        <w:t xml:space="preserve">) suggests that humanoid robot faces that closely, but imperfectly, resemble humans – those occupying the</w:t>
      </w:r>
      <w:r>
        <w:t xml:space="preserve"> </w:t>
      </w:r>
      <w:r>
        <w:t xml:space="preserve">“</w:t>
      </w:r>
      <w:r>
        <w:t xml:space="preserve">Uncanny Valley</w:t>
      </w:r>
      <w:r>
        <w:t xml:space="preserve">”</w:t>
      </w:r>
      <w:r>
        <w:t xml:space="preserve"> </w:t>
      </w:r>
      <w:r>
        <w:t xml:space="preserve">(Mori, 1970)</w:t>
      </w:r>
      <w:r>
        <w:t xml:space="preserve"> </w:t>
      </w:r>
      <w:r>
        <w:t xml:space="preserve">– can provoke intense feelings of eeriness, dislike, and distrust in human viewers. One mechanism of these negative reactions may be that robots occupying the Uncanny Valley provoke category confusion, which may itself be aversive</w:t>
      </w:r>
      <w:r>
        <w:t xml:space="preserve"> </w:t>
      </w:r>
      <w:r>
        <w:t xml:space="preserve">(Yamada, Kawabe, &amp; Ihaya, 2013)</w:t>
      </w:r>
      <w:r>
        <w:t xml:space="preserve">. In partial support for this hypothesis,</w:t>
      </w:r>
      <w:r>
        <w:t xml:space="preserve"> </w:t>
      </w:r>
      <w:r>
        <w:t xml:space="preserve">Mathur &amp; Reichling (2016)</w:t>
      </w:r>
      <w:r>
        <w:t xml:space="preserve"> </w:t>
      </w:r>
      <w:r>
        <w:t xml:space="preserve">found that robot faces in the Uncanny Valley elicited the most category confusion. As a validation, we attempted to conceptually reproduce</w:t>
      </w:r>
      <w:r>
        <w:t xml:space="preserve"> </w:t>
      </w:r>
      <w:r>
        <w:t xml:space="preserve">Mathur &amp; Reichling (2016)</w:t>
      </w:r>
      <w:r>
        <w:t xml:space="preserve">’s findings using the mouse-tracking software presented here. From</w:t>
      </w:r>
      <w:r>
        <w:t xml:space="preserve"> </w:t>
      </w:r>
      <w:r>
        <w:t xml:space="preserve">Mathur &amp; Reichling (2016)</w:t>
      </w:r>
      <w:r>
        <w:t xml:space="preserve">’s stimuli, we arbitrarily selected five</w:t>
      </w:r>
      <w:r>
        <w:t xml:space="preserve"> </w:t>
      </w:r>
      <w:r>
        <w:t xml:space="preserve">“</w:t>
      </w:r>
      <w:r>
        <w:t xml:space="preserve">unambiguous</w:t>
      </w:r>
      <w:r>
        <w:t xml:space="preserve">”</w:t>
      </w:r>
      <w:r>
        <w:t xml:space="preserve"> </w:t>
      </w:r>
      <w:r>
        <w:t xml:space="preserve">faces not occupying the Uncanny Valley (Figure</w:t>
      </w:r>
      <w:r>
        <w:t xml:space="preserve"> </w:t>
      </w:r>
      <w:r>
        <w:t xml:space="preserve">, row 1) and five</w:t>
      </w:r>
      <w:r>
        <w:t xml:space="preserve"> </w:t>
      </w:r>
      <w:r>
        <w:t xml:space="preserve">“</w:t>
      </w:r>
      <w:r>
        <w:t xml:space="preserve">ambiguous</w:t>
      </w:r>
      <w:r>
        <w:t xml:space="preserve">”</w:t>
      </w:r>
      <w:r>
        <w:t xml:space="preserve"> </w:t>
      </w:r>
      <w:r>
        <w:t xml:space="preserve">faces occupying the Uncanny Valley (Figure</w:t>
      </w:r>
      <w:r>
        <w:t xml:space="preserve"> </w:t>
      </w:r>
      <w:r>
        <w:t xml:space="preserve">, row 2). Given previous findings regarding these faces</w:t>
      </w:r>
      <w:r>
        <w:t xml:space="preserve"> </w:t>
      </w:r>
      <w:r>
        <w:t xml:space="preserve">(Mathur &amp; Reichling, 2016)</w:t>
      </w:r>
      <w:r>
        <w:t xml:space="preserve">, we expected mouse trajectories to indicate greater average confusion for ambiguous faces vs. unambiguous faces. We analyzed mouse trajectories from</w:t>
      </w:r>
      <w:r>
        <w:t xml:space="preserve"> </w:t>
      </w:r>
      <m:oMath>
        <m:r>
          <m:t>n</m:t>
        </m:r>
        <m:r>
          <m:t>=</m:t>
        </m:r>
      </m:oMath>
      <w:r>
        <w:t xml:space="preserve"> </w:t>
      </w:r>
      <w:r>
        <w:t xml:space="preserve">188 United States subjects</w:t>
      </w:r>
      <w:r>
        <w:t xml:space="preserve"> </w:t>
      </w:r>
      <w:r>
        <w:t xml:space="preserve">recruited on Amazon Mechanical Turk, who used the template Qualtrics questionnaire provided here to categorize each face as either a</w:t>
      </w:r>
      <w:r>
        <w:t xml:space="preserve"> </w:t>
      </w:r>
      <w:r>
        <w:t xml:space="preserve">“</w:t>
      </w:r>
      <w:r>
        <w:t xml:space="preserve">robot</w:t>
      </w:r>
      <w:r>
        <w:t xml:space="preserve">”</w:t>
      </w:r>
      <w:r>
        <w:t xml:space="preserve"> </w:t>
      </w:r>
      <w:r>
        <w:t xml:space="preserve">or a</w:t>
      </w:r>
      <w:r>
        <w:t xml:space="preserve"> </w:t>
      </w:r>
      <w:r>
        <w:t xml:space="preserve">“</w:t>
      </w:r>
      <w:r>
        <w:t xml:space="preserve">human</w:t>
      </w:r>
      <w:r>
        <w:t xml:space="preserve">”</w:t>
      </w:r>
      <w:r>
        <w:t xml:space="preserve">. We randomized the order of stimulus presentation for each subject. A link to a live demonstration version of the questionnaire is provided at</w:t>
      </w:r>
      <w:r>
        <w:t xml:space="preserve"> </w:t>
      </w:r>
      <w:r>
        <w:t xml:space="preserve">.</w:t>
      </w:r>
    </w:p>
    <w:p>
      <w:pPr>
        <w:pStyle w:val="BodyText"/>
      </w:pPr>
      <w:r>
        <w:t xml:space="preserve">We regressed each of the five outcome measures described in Section</w:t>
      </w:r>
      <w:r>
        <w:t xml:space="preserve"> </w:t>
      </w:r>
      <w:r>
        <w:t xml:space="preserve"> </w:t>
      </w:r>
      <w:r>
        <w:t xml:space="preserve">on a binary indicator for stimulus ambiguity. Regression models were semiparametric generalized estimating equations (GEE) models with a working exchangeable correlation structure and robust inference, and the unit of analysis was trials (1880 observations). We chose this specification in order to account for arbitrary correlation structures within subjects and within stimuli, as well as to avoid making distributional assumptions on the residuals for highly-skewed outcomes such as reaction time. Models for continuous outcomes used the identity link, while the model for</w:t>
      </w:r>
      <w:r>
        <w:t xml:space="preserve"> </w:t>
      </w:r>
      <m:oMath>
        <m:r>
          <m:t>x</m:t>
        </m:r>
      </m:oMath>
      <w:r>
        <w:t xml:space="preserve">-flips used the Poisson link. To account for residual variation in the visual display size of the experiment as described in Section</w:t>
      </w:r>
      <w:r>
        <w:t xml:space="preserve"> </w:t>
      </w:r>
      <w:r>
        <w:t xml:space="preserve"> </w:t>
      </w:r>
      <w:r>
        <w:t xml:space="preserve">above, each outcome model included main effects of indicator variables for non-standard pixel dimensions and for too-small browser windows (the variables</w:t>
      </w:r>
      <w:r>
        <w:t xml:space="preserve"> </w:t>
      </w:r>
      <w:r>
        <w:rPr>
          <w:rStyle w:val="VerbatimChar"/>
        </w:rPr>
        <w:t xml:space="preserve">weird.scaling</w:t>
      </w:r>
      <w:r>
        <w:t xml:space="preserve"> </w:t>
      </w:r>
      <w:r>
        <w:t xml:space="preserve">and</w:t>
      </w:r>
      <w:r>
        <w:t xml:space="preserve"> </w:t>
      </w:r>
      <w:r>
        <w:rPr>
          <w:rStyle w:val="VerbatimChar"/>
        </w:rPr>
        <w:t xml:space="preserve">wts</w:t>
      </w:r>
      <w:r>
        <w:t xml:space="preserve">), as well as all possible interactions among these nuisance variables and the stimulus ambiguity indicator</w:t>
      </w:r>
      <w:r>
        <w:t xml:space="preserve">.</w:t>
      </w:r>
    </w:p>
    <w:p>
      <w:pPr>
        <w:pStyle w:val="BodyText"/>
      </w:pPr>
      <w:r>
        <w:t xml:space="preserve">Across all trials, the median reaction time was 1170 ms (</w:t>
      </w:r>
      <m:oMath>
        <m:sSup>
          <m:e>
            <m:r>
              <m:t>25</m:t>
            </m:r>
          </m:e>
          <m:sup>
            <m:r>
              <m:t>t</m:t>
            </m:r>
            <m:r>
              <m:t>h</m:t>
            </m:r>
          </m:sup>
        </m:sSup>
      </m:oMath>
      <w:r>
        <w:t xml:space="preserve"> </w:t>
      </w:r>
      <w:r>
        <w:t xml:space="preserve">percentile: 859 ms;</w:t>
      </w:r>
      <w:r>
        <w:t xml:space="preserve"> </w:t>
      </w:r>
      <m:oMath>
        <m:sSup>
          <m:e>
            <m:r>
              <m:t>75</m:t>
            </m:r>
          </m:e>
          <m:sup>
            <m:r>
              <m:t>t</m:t>
            </m:r>
            <m:r>
              <m:t>h</m:t>
            </m:r>
          </m:sup>
        </m:sSup>
      </m:oMath>
      <w:r>
        <w:t xml:space="preserve"> </w:t>
      </w:r>
      <w:r>
        <w:t xml:space="preserve">percentile: 1628 ms). The average latency (the time elapsed between the beginning of the trial and the subject’s first mouse movement) was 442 ms (</w:t>
      </w:r>
      <m:oMath>
        <m:sSup>
          <m:e>
            <m:r>
              <m:t>25</m:t>
            </m:r>
          </m:e>
          <m:sup>
            <m:r>
              <m:t>t</m:t>
            </m:r>
            <m:r>
              <m:t>h</m:t>
            </m:r>
          </m:sup>
        </m:sSup>
      </m:oMath>
      <w:r>
        <w:t xml:space="preserve"> </w:t>
      </w:r>
      <w:r>
        <w:t xml:space="preserve">percentile: 87 ms;</w:t>
      </w:r>
      <w:r>
        <w:t xml:space="preserve"> </w:t>
      </w:r>
      <m:oMath>
        <m:sSup>
          <m:e>
            <m:r>
              <m:t>75</m:t>
            </m:r>
          </m:e>
          <m:sup>
            <m:r>
              <m:t>t</m:t>
            </m:r>
            <m:r>
              <m:t>h</m:t>
            </m:r>
          </m:sup>
        </m:sSup>
      </m:oMath>
      <w:r>
        <w:t xml:space="preserve"> </w:t>
      </w:r>
      <w:r>
        <w:t xml:space="preserve">percentile: 640 ms), which was short enough to suggest that the mouse trajectories would capture dynamic competition processes occurring almost immediately after stimulus presentation.</w:t>
      </w:r>
    </w:p>
    <w:p>
      <w:pPr>
        <w:pStyle w:val="BodyText"/>
      </w:pPr>
      <w:r>
        <w:t xml:space="preserve">As a visual example of the mouse trajectories , Figure</w:t>
      </w:r>
      <w:r>
        <w:t xml:space="preserve"> </w:t>
      </w:r>
      <w:r>
        <w:t xml:space="preserve"> </w:t>
      </w:r>
      <w:r>
        <w:t xml:space="preserve">shows unit-scaled trajectories from the fifth subject. For this subject, ambiguous faces 6, 8, and 9 in particular elicited mouse trajectories characteristic of substantial category confusion, evidenced by</w:t>
      </w:r>
      <w:r>
        <w:t xml:space="preserve"> </w:t>
      </w:r>
      <m:oMath>
        <m:r>
          <m:t>x</m:t>
        </m:r>
      </m:oMath>
      <w:r>
        <w:t xml:space="preserve">-flips and large deviations from the ideal trajectory. (The reason for the rightward trajectory for face 7 is that the subject classified this face as</w:t>
      </w:r>
      <w:r>
        <w:t xml:space="preserve"> </w:t>
      </w:r>
      <w:r>
        <w:t xml:space="preserve">“</w:t>
      </w:r>
      <w:r>
        <w:t xml:space="preserve">Human</w:t>
      </w:r>
      <w:r>
        <w:t xml:space="preserve">”</w:t>
      </w:r>
      <w:r>
        <w:t xml:space="preserve">, whereas all the other faces were classified as</w:t>
      </w:r>
      <w:r>
        <w:t xml:space="preserve"> </w:t>
      </w:r>
      <w:r>
        <w:t xml:space="preserve">“</w:t>
      </w:r>
      <w:r>
        <w:t xml:space="preserve">Robot</w:t>
      </w:r>
      <w:r>
        <w:t xml:space="preserve">”</w:t>
      </w:r>
      <w:r>
        <w:t xml:space="preserve">.) Figure</w:t>
      </w:r>
      <w:r>
        <w:t xml:space="preserve"> </w:t>
      </w:r>
      <w:r>
        <w:t xml:space="preserve"> </w:t>
      </w:r>
      <w:r>
        <w:t xml:space="preserve">aggregates outcome data across subjects, suggesting visually that each outcome measure was on average higher for ambiguous versus unambiguous stimuli, as expected. Point estimates (Figure</w:t>
      </w:r>
      <w:r>
        <w:t xml:space="preserve"> </w:t>
      </w:r>
      <w:r>
        <w:t xml:space="preserve">) were in the predicted direction for all stimuli (with</w:t>
      </w:r>
      <w:r>
        <w:t xml:space="preserve"> </w:t>
      </w:r>
      <m:oMath>
        <m:r>
          <m:t>p</m:t>
        </m:r>
        <m:r>
          <m:t>&lt;</m:t>
        </m:r>
        <m:sSup>
          <m:e>
            <m:r>
              <m:t>10</m:t>
            </m:r>
          </m:e>
          <m:sup>
            <m:r>
              <m:t>−</m:t>
            </m:r>
            <m:r>
              <m:t>8</m:t>
            </m:r>
          </m:sup>
        </m:sSup>
      </m:oMath>
      <w:r>
        <w:t xml:space="preserve"> </w:t>
      </w:r>
      <w:r>
        <w:t xml:space="preserve">for</w:t>
      </w:r>
      <w:r>
        <w:t xml:space="preserve"> </w:t>
      </w:r>
      <m:oMath>
        <m:r>
          <m:t>x</m:t>
        </m:r>
      </m:oMath>
      <w:r>
        <w:t xml:space="preserve">-flips, maximum horizontal deviation, reaction time, and speed, and</w:t>
      </w:r>
      <w:r>
        <w:t xml:space="preserve"> </w:t>
      </w:r>
      <m:oMath>
        <m:r>
          <m:t>p</m:t>
        </m:r>
        <m:r>
          <m:t>=</m:t>
        </m:r>
        <m:r>
          <m:t>0.0004</m:t>
        </m:r>
      </m:oMath>
      <w:r>
        <w:t xml:space="preserve"> </w:t>
      </w:r>
      <w:r>
        <w:t xml:space="preserve">for area). As a global measure of validation success across the five outcome measures, we observed more point estimates in the predicted direction than predicted by chance (</w:t>
      </w:r>
      <m:oMath>
        <m:r>
          <m:t>p</m:t>
        </m:r>
        <m:r>
          <m:t>=</m:t>
        </m:r>
        <m:sSup>
          <m:e>
            <m:r>
              <m:t>0.5</m:t>
            </m:r>
          </m:e>
          <m:sup>
            <m:r>
              <m:t>5</m:t>
            </m:r>
          </m:sup>
        </m:sSup>
        <m:r>
          <m:t>=</m:t>
        </m:r>
        <m:r>
          <m:t>0.03</m:t>
        </m:r>
      </m:oMath>
      <w:r>
        <w:t xml:space="preserve">). These results suggest that the software and methods presented here adequately capture confusion when implemented through realistic crowdsourced data collection.</w:t>
      </w:r>
    </w:p>
    <w:p>
      <w:pPr>
        <w:pStyle w:val="BodyText"/>
      </w:pPr>
      <w:r>
        <w:t xml:space="preserve">All data, code, and materials required to reproduce the validation study are publicly available and documented (</w:t>
      </w:r>
      <w:r>
        <w:t xml:space="preserve">).</w:t>
      </w:r>
    </w:p>
    <w:p>
      <w:pPr>
        <w:pStyle w:val="BodyText"/>
      </w:pPr>
      <w:r>
        <w:t xml:space="preserve">MM was supported by NIH grant R01 CA222147. The funders had no role in the design, conduct, or reporting of this research. We thank Jackson Walters for helpful discussions and for providing open-source Javascript that helped us develop our software</w:t>
      </w:r>
      <w:r>
        <w:t xml:space="preserve"> </w:t>
      </w:r>
      <w:r>
        <w:t xml:space="preserve">(Walters, 2018)</w:t>
      </w:r>
      <w:r>
        <w:t xml:space="preserve">.</w:t>
      </w:r>
    </w:p>
    <w:p>
      <w:pPr>
        <w:pStyle w:val="BodyText"/>
      </w:pPr>
      <w:r>
        <w:t xml:space="preserve">You will be shown a series of faces, one at a time, and you should decide whether each is a robot or a human by clicking one of the two answer buttons at the top of the window. We are recording the speed and accuracy of your answers, so please answer as quickly and accurately as possible even though some faces may be hard to categorize. To speed up your answer, you should begin moving the cursor very soon after the face is displayed (within 1/2 second), even if you have not yet fully decided which answer you will choose. However, it is important that you do not begin moving the cursor until the face appears on the screen – the cursor must begin the next question positioned over the Next button, so after clicking</w:t>
      </w:r>
      <w:r>
        <w:t xml:space="preserve"> </w:t>
      </w:r>
      <w:r>
        <w:t xml:space="preserve">“</w:t>
      </w:r>
      <w:r>
        <w:t xml:space="preserve">Next</w:t>
      </w:r>
      <w:r>
        <w:t xml:space="preserve">”</w:t>
      </w:r>
      <w:r>
        <w:t xml:space="preserve">, do not move the mouse while you’re waiting for the next face to be displayed.</w:t>
      </w:r>
    </w:p>
    <w:p>
      <w:pPr>
        <w:pStyle w:val="BodyText"/>
      </w:pPr>
      <w:r>
        <w:t xml:space="preserve">We understand it can be tricky for you to move the cursor quickly, but not too quickly, on every single question, and we will issue alerts to let you know when the timing isn’t correct. Please don’t be stressed by these alerts; they are just meant to help you improve your timing.</w:t>
      </w:r>
    </w:p>
    <w:p>
      <w:pPr>
        <w:pStyle w:val="BodyText"/>
      </w:pPr>
      <w:r>
        <w:t xml:space="preserve">After you click the</w:t>
      </w:r>
      <w:r>
        <w:t xml:space="preserve"> </w:t>
      </w:r>
      <w:r>
        <w:t xml:space="preserve">“</w:t>
      </w:r>
      <w:r>
        <w:t xml:space="preserve">Next</w:t>
      </w:r>
      <w:r>
        <w:t xml:space="preserve">”</w:t>
      </w:r>
      <w:r>
        <w:t xml:space="preserve"> </w:t>
      </w:r>
      <w:r>
        <w:t xml:space="preserve">button on this page, you will begin a series of 6 practice faces (labeled</w:t>
      </w:r>
      <w:r>
        <w:t xml:space="preserve"> </w:t>
      </w:r>
      <w:r>
        <w:t xml:space="preserve">“</w:t>
      </w:r>
      <w:r>
        <w:t xml:space="preserve">Practice</w:t>
      </w:r>
      <w:r>
        <w:t xml:space="preserve">”</w:t>
      </w:r>
      <w:r>
        <w:t xml:space="preserve">) to familiarize yourself with the task. Then you will go directly into the actual task.</w:t>
      </w:r>
    </w:p>
    <w:p>
      <w:pPr>
        <w:pStyle w:val="BodyText"/>
      </w:pPr>
      <w:r>
        <w:t xml:space="preserve">This entire task needs to be done in a single sitting, which should take about 3 minutes. Also, you must not use a touchscreen device to complete this task (a physical mouse or trackpad, as on a laptop, is fine).</w:t>
      </w:r>
    </w:p>
    <w:p>
      <w:pPr>
        <w:pStyle w:val="BodyText"/>
      </w:pPr>
      <w:r>
        <w:t xml:space="preserve">STARTED TOO EARLY</w:t>
      </w:r>
    </w:p>
    <w:p>
      <w:pPr>
        <w:pStyle w:val="BodyText"/>
      </w:pPr>
      <w:r>
        <w:t xml:space="preserve">You moved the cursor off the Next button before the question was fully displayed.</w:t>
      </w:r>
    </w:p>
    <w:p>
      <w:pPr>
        <w:pStyle w:val="BodyText"/>
      </w:pPr>
      <w:r>
        <w:t xml:space="preserve">STARTED TOO LATE</w:t>
      </w:r>
    </w:p>
    <w:p>
      <w:pPr>
        <w:pStyle w:val="BodyText"/>
      </w:pPr>
      <w:r>
        <w:t xml:space="preserve">You waited a little too long to start moving the cursor. To speed up your answer, try to start moving the cursor sooner, even if you are not yet fully decided about your final answer.</w:t>
      </w:r>
    </w:p>
    <w:p>
      <w:pPr>
        <w:pStyle w:val="BodyText"/>
      </w:pPr>
      <w:r>
        <w:t xml:space="preserve">You took longer than the 5-second total time limit to click an answer.</w:t>
      </w:r>
    </w:p>
    <w:p>
      <w:pPr>
        <w:pStyle w:val="BodyText"/>
      </w:pPr>
      <w:r>
        <w:t xml:space="preserve">Your browser window is too small. Please make it larger.</w:t>
      </w:r>
    </w:p>
    <w:p>
      <w:pPr>
        <w:pStyle w:val="Bibliography"/>
      </w:pPr>
      <w:r>
        <w:t xml:space="preserve">Browser market share worldwide. (2018).</w:t>
      </w:r>
      <w:r>
        <w:t xml:space="preserve"> </w:t>
      </w:r>
      <w:hyperlink r:id="rId21">
        <w:r>
          <w:rPr>
            <w:rStyle w:val="Hyperlink"/>
          </w:rPr>
          <w:t xml:space="preserve">http://gs.statcounter.com/browser-market-share/all/worldwide/2018</w:t>
        </w:r>
      </w:hyperlink>
      <w:r>
        <w:t xml:space="preserve">; StatCounter.</w:t>
      </w:r>
    </w:p>
    <w:p>
      <w:pPr>
        <w:pStyle w:val="Bibliography"/>
      </w:pPr>
      <w:r>
        <w:t xml:space="preserve">Dale, R., &amp; Duran, N. D. (2011). The cognitive dynamics of negated sentence verification.</w:t>
      </w:r>
      <w:r>
        <w:t xml:space="preserve"> </w:t>
      </w:r>
      <w:r>
        <w:rPr>
          <w:i/>
        </w:rPr>
        <w:t xml:space="preserve">Cognitive Science</w:t>
      </w:r>
      <w:r>
        <w:t xml:space="preserve">,</w:t>
      </w:r>
      <w:r>
        <w:t xml:space="preserve"> </w:t>
      </w:r>
      <w:r>
        <w:rPr>
          <w:i/>
        </w:rPr>
        <w:t xml:space="preserve">35</w:t>
      </w:r>
      <w:r>
        <w:t xml:space="preserve">(5), 983–996.</w:t>
      </w:r>
    </w:p>
    <w:p>
      <w:pPr>
        <w:pStyle w:val="Bibliography"/>
      </w:pPr>
      <w:r>
        <w:t xml:space="preserve">Dale, R., Kehoe, C., &amp; Spivey, M. J. (2007). Graded motor responses in the time course of categorizing atypical exemplars.</w:t>
      </w:r>
      <w:r>
        <w:t xml:space="preserve"> </w:t>
      </w:r>
      <w:r>
        <w:rPr>
          <w:i/>
        </w:rPr>
        <w:t xml:space="preserve">Memory &amp; Cognition</w:t>
      </w:r>
      <w:r>
        <w:t xml:space="preserve">,</w:t>
      </w:r>
      <w:r>
        <w:t xml:space="preserve"> </w:t>
      </w:r>
      <w:r>
        <w:rPr>
          <w:i/>
        </w:rPr>
        <w:t xml:space="preserve">35</w:t>
      </w:r>
      <w:r>
        <w:t xml:space="preserve">(1), 15–28.</w:t>
      </w:r>
    </w:p>
    <w:p>
      <w:pPr>
        <w:pStyle w:val="Bibliography"/>
      </w:pPr>
      <w:r>
        <w:t xml:space="preserve">Farmer, T. A., Anderson, S. E., &amp; Spivey, M. J. (2007). Gradiency and visual context in syntactic garden-paths.</w:t>
      </w:r>
      <w:r>
        <w:t xml:space="preserve"> </w:t>
      </w:r>
      <w:r>
        <w:rPr>
          <w:i/>
        </w:rPr>
        <w:t xml:space="preserve">Journal of Memory and Language</w:t>
      </w:r>
      <w:r>
        <w:t xml:space="preserve">,</w:t>
      </w:r>
      <w:r>
        <w:t xml:space="preserve"> </w:t>
      </w:r>
      <w:r>
        <w:rPr>
          <w:i/>
        </w:rPr>
        <w:t xml:space="preserve">57</w:t>
      </w:r>
      <w:r>
        <w:t xml:space="preserve">(4), 570–595.</w:t>
      </w:r>
    </w:p>
    <w:p>
      <w:pPr>
        <w:pStyle w:val="Bibliography"/>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w:t>
      </w:r>
    </w:p>
    <w:p>
      <w:pPr>
        <w:pStyle w:val="Bibliography"/>
      </w:pPr>
      <w:r>
        <w:t xml:space="preserve">Freeman, J. B., &amp; Johnson, K. L. (2016). More than meets the eye: Split-second social perception.</w:t>
      </w:r>
      <w:r>
        <w:t xml:space="preserve"> </w:t>
      </w:r>
      <w:r>
        <w:rPr>
          <w:i/>
        </w:rPr>
        <w:t xml:space="preserve">Trends in Cognitive Sciences</w:t>
      </w:r>
      <w:r>
        <w:t xml:space="preserve">,</w:t>
      </w:r>
      <w:r>
        <w:t xml:space="preserve"> </w:t>
      </w:r>
      <w:r>
        <w:rPr>
          <w:i/>
        </w:rPr>
        <w:t xml:space="preserve">20</w:t>
      </w:r>
      <w:r>
        <w:t xml:space="preserve">(5), 362–374.</w:t>
      </w:r>
    </w:p>
    <w:p>
      <w:pPr>
        <w:pStyle w:val="Bibliography"/>
      </w:pPr>
      <w:r>
        <w:t xml:space="preserve">Freeman, J. B., Ambady, N., Rule, N. O., &amp; Johnson, K. L. (2008). Will a category cue attract you? Motor output reveals dynamic competition across person construal.</w:t>
      </w:r>
      <w:r>
        <w:t xml:space="preserve"> </w:t>
      </w:r>
      <w:r>
        <w:rPr>
          <w:i/>
        </w:rPr>
        <w:t xml:space="preserve">Journal of Experimental Psychology: General</w:t>
      </w:r>
      <w:r>
        <w:t xml:space="preserve">,</w:t>
      </w:r>
      <w:r>
        <w:t xml:space="preserve"> </w:t>
      </w:r>
      <w:r>
        <w:rPr>
          <w:i/>
        </w:rPr>
        <w:t xml:space="preserve">137</w:t>
      </w:r>
      <w:r>
        <w:t xml:space="preserve">(4), 673.</w:t>
      </w:r>
    </w:p>
    <w:p>
      <w:pPr>
        <w:pStyle w:val="Bibliography"/>
      </w:pPr>
      <w:r>
        <w:t xml:space="preserve">Freeman, J. B., Pauker, K., &amp; Sanchez, D. T. (2016). A perceptual pathway to bias: Interracial exposure reduces abrupt shifts in real-time race perception that predict mixed-race bias.</w:t>
      </w:r>
      <w:r>
        <w:t xml:space="preserve"> </w:t>
      </w:r>
      <w:r>
        <w:rPr>
          <w:i/>
        </w:rPr>
        <w:t xml:space="preserve">Psychological Science</w:t>
      </w:r>
      <w:r>
        <w:t xml:space="preserve">,</w:t>
      </w:r>
      <w:r>
        <w:t xml:space="preserve"> </w:t>
      </w:r>
      <w:r>
        <w:rPr>
          <w:i/>
        </w:rPr>
        <w:t xml:space="preserve">27</w:t>
      </w:r>
      <w:r>
        <w:t xml:space="preserve">(4), 502–517.</w:t>
      </w:r>
    </w:p>
    <w:p>
      <w:pPr>
        <w:pStyle w:val="Bibliography"/>
      </w:pPr>
      <w:r>
        <w:t xml:space="preserve">Gosling, S. D., Sandy, C. J., John, O. P., &amp; Potter, J. (2010). Wired but not weird: The promise of the internet in reaching more diverse samples.</w:t>
      </w:r>
      <w:r>
        <w:t xml:space="preserve"> </w:t>
      </w:r>
      <w:r>
        <w:rPr>
          <w:i/>
        </w:rPr>
        <w:t xml:space="preserve">Behavioral and Brain Sciences</w:t>
      </w:r>
      <w:r>
        <w:t xml:space="preserve">,</w:t>
      </w:r>
      <w:r>
        <w:t xml:space="preserve"> </w:t>
      </w:r>
      <w:r>
        <w:rPr>
          <w:i/>
        </w:rPr>
        <w:t xml:space="preserve">33</w:t>
      </w:r>
      <w:r>
        <w:t xml:space="preserve">(2-3), 94–95.</w:t>
      </w:r>
    </w:p>
    <w:p>
      <w:pPr>
        <w:pStyle w:val="Bibliography"/>
      </w:pPr>
      <w:r>
        <w:t xml:space="preserve">Kieslich, P. J., &amp; Henninger, F. (2017). Mousetrap: An integrated, open-source mouse-tracking package.</w:t>
      </w:r>
      <w:r>
        <w:t xml:space="preserve"> </w:t>
      </w:r>
      <w:r>
        <w:rPr>
          <w:i/>
        </w:rPr>
        <w:t xml:space="preserve">Behavior Research Methods</w:t>
      </w:r>
      <w:r>
        <w:t xml:space="preserve">,</w:t>
      </w:r>
      <w:r>
        <w:t xml:space="preserve"> </w:t>
      </w:r>
      <w:r>
        <w:rPr>
          <w:i/>
        </w:rPr>
        <w:t xml:space="preserve">49</w:t>
      </w:r>
      <w:r>
        <w:t xml:space="preserve">(5), 1652–1667.</w:t>
      </w:r>
    </w:p>
    <w:p>
      <w:pPr>
        <w:pStyle w:val="Bibliography"/>
      </w:pPr>
      <w:r>
        <w:t xml:space="preserve">Kieslich, P. J., &amp; Hilbig, B. E. (2014). Cognitive conflict in social dilemmas: An analysis of response dynamics.</w:t>
      </w:r>
      <w:r>
        <w:t xml:space="preserve"> </w:t>
      </w:r>
      <w:r>
        <w:rPr>
          <w:i/>
        </w:rPr>
        <w:t xml:space="preserve">Judgment &amp; Decision Making</w:t>
      </w:r>
      <w:r>
        <w:t xml:space="preserve">,</w:t>
      </w:r>
      <w:r>
        <w:t xml:space="preserve"> </w:t>
      </w:r>
      <w:r>
        <w:rPr>
          <w:i/>
        </w:rPr>
        <w:t xml:space="preserve">9</w:t>
      </w:r>
      <w:r>
        <w:t xml:space="preserve">(6).</w:t>
      </w:r>
    </w:p>
    <w:p>
      <w:pPr>
        <w:pStyle w:val="Bibliography"/>
      </w:pPr>
      <w:r>
        <w:t xml:space="preserve">Mathur, M. B., &amp; Reichling, D. B. (2009). An uncanny game of trust: Social trustworthiness of robots inferred from subtle anthropomorphic facial cues. In</w:t>
      </w:r>
      <w:r>
        <w:t xml:space="preserve"> </w:t>
      </w:r>
      <w:r>
        <w:rPr>
          <w:i/>
        </w:rPr>
        <w:t xml:space="preserve">Human-robot interaction (hri), 2009 4th acm/ieee international conference on</w:t>
      </w:r>
      <w:r>
        <w:t xml:space="preserve"> </w:t>
      </w:r>
      <w:r>
        <w:t xml:space="preserve">(pp. 313–314). IEEE.</w:t>
      </w:r>
    </w:p>
    <w:p>
      <w:pPr>
        <w:pStyle w:val="Bibliography"/>
      </w:pPr>
      <w:r>
        <w:t xml:space="preserve">Mathur, M. B., &amp; Reichling, D. B. (2016). Navigating a social world with robot partners: A quantitative cartography of the uncanny valley.</w:t>
      </w:r>
      <w:r>
        <w:t xml:space="preserve"> </w:t>
      </w:r>
      <w:r>
        <w:rPr>
          <w:i/>
        </w:rPr>
        <w:t xml:space="preserve">Cognition</w:t>
      </w:r>
      <w:r>
        <w:t xml:space="preserve">,</w:t>
      </w:r>
      <w:r>
        <w:t xml:space="preserve"> </w:t>
      </w:r>
      <w:r>
        <w:rPr>
          <w:i/>
        </w:rPr>
        <w:t xml:space="preserve">146</w:t>
      </w:r>
      <w:r>
        <w:t xml:space="preserve">, 22–32.</w:t>
      </w:r>
    </w:p>
    <w:p>
      <w:pPr>
        <w:pStyle w:val="Bibliography"/>
      </w:pPr>
      <w:r>
        <w:t xml:space="preserve">Mori, M. (1970). The uncanny valley.</w:t>
      </w:r>
      <w:r>
        <w:t xml:space="preserve"> </w:t>
      </w:r>
      <w:r>
        <w:rPr>
          <w:i/>
        </w:rPr>
        <w:t xml:space="preserve">Energy</w:t>
      </w:r>
      <w:r>
        <w:t xml:space="preserve">,</w:t>
      </w:r>
      <w:r>
        <w:t xml:space="preserve"> </w:t>
      </w:r>
      <w:r>
        <w:rPr>
          <w:i/>
        </w:rPr>
        <w:t xml:space="preserve">7</w:t>
      </w:r>
      <w:r>
        <w:t xml:space="preserve">(4), 33–35.</w:t>
      </w:r>
    </w:p>
    <w:p>
      <w:pPr>
        <w:pStyle w:val="Bibliography"/>
      </w:pPr>
      <w:r>
        <w:t xml:space="preserve">Spivey, M. J., Grosjean, M., &amp; Knoblich, G. (2005). Continuous attraction toward phonological competitors.</w:t>
      </w:r>
      <w:r>
        <w:t xml:space="preserve"> </w:t>
      </w:r>
      <w:r>
        <w:rPr>
          <w:i/>
        </w:rPr>
        <w:t xml:space="preserve">Proceedings of the National Academy of Sciences</w:t>
      </w:r>
      <w:r>
        <w:t xml:space="preserve">,</w:t>
      </w:r>
      <w:r>
        <w:t xml:space="preserve"> </w:t>
      </w:r>
      <w:r>
        <w:rPr>
          <w:i/>
        </w:rPr>
        <w:t xml:space="preserve">102</w:t>
      </w:r>
      <w:r>
        <w:t xml:space="preserve">(29), 10393–10398.</w:t>
      </w:r>
    </w:p>
    <w:p>
      <w:pPr>
        <w:pStyle w:val="Bibliography"/>
      </w:pPr>
      <w:r>
        <w:t xml:space="preserve">Walters, J. (2018). Javascript mouse-tracking.</w:t>
      </w:r>
      <w:r>
        <w:t xml:space="preserve"> </w:t>
      </w:r>
      <w:r>
        <w:rPr>
          <w:i/>
        </w:rPr>
        <w:t xml:space="preserve">GitHub repository</w:t>
      </w:r>
      <w:r>
        <w:t xml:space="preserve">.</w:t>
      </w:r>
      <w:r>
        <w:t xml:space="preserve"> </w:t>
      </w:r>
      <w:hyperlink r:id="rId22">
        <w:r>
          <w:rPr>
            <w:rStyle w:val="Hyperlink"/>
          </w:rPr>
          <w:t xml:space="preserve">https://github.com/jacksonwalters/js-mouse-tracking</w:t>
        </w:r>
      </w:hyperlink>
      <w:r>
        <w:t xml:space="preserve">; GitHub.</w:t>
      </w:r>
    </w:p>
    <w:p>
      <w:pPr>
        <w:pStyle w:val="Bibliography"/>
      </w:pPr>
      <w:r>
        <w:t xml:space="preserve">Wojnowicz, M. T., Ferguson, M. J., Dale, R., &amp; Spivey, M. J. (2009). The self-organization of explicit attitudes.</w:t>
      </w:r>
      <w:r>
        <w:t xml:space="preserve"> </w:t>
      </w:r>
      <w:r>
        <w:rPr>
          <w:i/>
        </w:rPr>
        <w:t xml:space="preserve">Psychological Science</w:t>
      </w:r>
      <w:r>
        <w:t xml:space="preserve">,</w:t>
      </w:r>
      <w:r>
        <w:t xml:space="preserve"> </w:t>
      </w:r>
      <w:r>
        <w:rPr>
          <w:i/>
        </w:rPr>
        <w:t xml:space="preserve">20</w:t>
      </w:r>
      <w:r>
        <w:t xml:space="preserve">(11), 1428–1435.</w:t>
      </w:r>
    </w:p>
    <w:p>
      <w:pPr>
        <w:pStyle w:val="Bibliography"/>
      </w:pPr>
      <w:r>
        <w:t xml:space="preserve">Yamada, Y., Kawabe, T., &amp; Ihaya, K. (2013). Categorization difficulty is associated with negative evaluation in the “uncanny valley” phenomenon.</w:t>
      </w:r>
      <w:r>
        <w:t xml:space="preserve"> </w:t>
      </w:r>
      <w:r>
        <w:rPr>
          <w:i/>
        </w:rPr>
        <w:t xml:space="preserve">Japanese Psychological Research</w:t>
      </w:r>
      <w:r>
        <w:t xml:space="preserve">,</w:t>
      </w:r>
      <w:r>
        <w:t xml:space="preserve"> </w:t>
      </w:r>
      <w:r>
        <w:rPr>
          <w:i/>
        </w:rPr>
        <w:t xml:space="preserve">55</w:t>
      </w:r>
      <w:r>
        <w:t xml:space="preserve">(1), 20–32.</w:t>
      </w:r>
    </w:p>
    <w:p>
      <w:pPr>
        <w:pStyle w:val="Bibliography"/>
      </w:pPr>
      <w:r>
        <w:t xml:space="preserve">Yu, Z., Wang, F., Wang, D., &amp; Bastin, M. (2012). Beyond reaction times: Incorporating mouse-tracking measures into the implicit association test to examine its underlying process.</w:t>
      </w:r>
      <w:r>
        <w:t xml:space="preserve"> </w:t>
      </w:r>
      <w:r>
        <w:rPr>
          <w:i/>
        </w:rPr>
        <w:t xml:space="preserve">Social Cognition</w:t>
      </w:r>
      <w:r>
        <w:t xml:space="preserve">,</w:t>
      </w:r>
      <w:r>
        <w:t xml:space="preserve"> </w:t>
      </w:r>
      <w:r>
        <w:rPr>
          <w:i/>
        </w:rPr>
        <w:t xml:space="preserve">30</w:t>
      </w:r>
      <w:r>
        <w:t xml:space="preserve">(3), 289–306.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4a19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s.statcounter.com/browser-market-share/all/worldwide/2018" TargetMode="External" /><Relationship Type="http://schemas.openxmlformats.org/officeDocument/2006/relationships/hyperlink" Id="rId22" Target="https://github.com/jacksonwalters/js-mouse-tracking" TargetMode="External" /></Relationships>
</file>

<file path=word/_rels/footnotes.xml.rels><?xml version="1.0" encoding="UTF-8"?>
<Relationships xmlns="http://schemas.openxmlformats.org/package/2006/relationships"><Relationship Type="http://schemas.openxmlformats.org/officeDocument/2006/relationships/hyperlink" Id="rId21" Target="http://gs.statcounter.com/browser-market-share/all/worldwide/2018" TargetMode="External" /><Relationship Type="http://schemas.openxmlformats.org/officeDocument/2006/relationships/hyperlink" Id="rId22" Target="https://github.com/jacksonwalters/js-mouse-track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2018-11-04T12:39:10Z</dcterms:created>
  <dcterms:modified xsi:type="dcterms:W3CDTF">2018-11-04T12:39:10Z</dcterms:modified>
</cp:coreProperties>
</file>