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76A66" w14:textId="77777777" w:rsidR="00733F74" w:rsidRPr="00643E8E" w:rsidRDefault="0025060F" w:rsidP="008266BC">
      <w:pPr>
        <w:pStyle w:val="Title"/>
        <w:spacing w:line="360" w:lineRule="auto"/>
        <w:rPr>
          <w:rFonts w:cstheme="majorHAnsi"/>
          <w:color w:val="000000" w:themeColor="text1"/>
          <w:sz w:val="56"/>
          <w:szCs w:val="56"/>
        </w:rPr>
      </w:pPr>
      <w:r w:rsidRPr="00643E8E">
        <w:rPr>
          <w:rFonts w:cstheme="majorHAnsi"/>
          <w:color w:val="000000" w:themeColor="text1"/>
          <w:sz w:val="56"/>
          <w:szCs w:val="56"/>
        </w:rPr>
        <w:t>Espresso Machine Investment Case Study</w:t>
      </w:r>
    </w:p>
    <w:p w14:paraId="13498CEB" w14:textId="77777777" w:rsidR="00733F74" w:rsidRPr="00643E8E" w:rsidRDefault="0025060F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643E8E">
        <w:rPr>
          <w:rFonts w:cstheme="majorHAnsi"/>
          <w:color w:val="000000" w:themeColor="text1"/>
          <w:sz w:val="24"/>
          <w:szCs w:val="24"/>
        </w:rPr>
        <w:t>1. Objective</w:t>
      </w:r>
    </w:p>
    <w:p w14:paraId="07AFE040" w14:textId="75061A89" w:rsidR="00733F74" w:rsidRPr="00643E8E" w:rsidRDefault="0025060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 xml:space="preserve">This case study </w:t>
      </w:r>
      <w:r w:rsidR="00643E8E">
        <w:rPr>
          <w:rFonts w:asciiTheme="majorHAnsi" w:hAnsiTheme="majorHAnsi" w:cstheme="majorHAnsi"/>
          <w:sz w:val="24"/>
          <w:szCs w:val="24"/>
        </w:rPr>
        <w:t xml:space="preserve">assesses the financial viability of investing £12,000 in an espresso machine </w:t>
      </w:r>
      <w:r w:rsidRPr="008266BC">
        <w:rPr>
          <w:rFonts w:asciiTheme="majorHAnsi" w:hAnsiTheme="majorHAnsi" w:cstheme="majorHAnsi"/>
          <w:sz w:val="24"/>
          <w:szCs w:val="24"/>
        </w:rPr>
        <w:t xml:space="preserve">for a small coffee shop. The goal is to determine whether the investment </w:t>
      </w:r>
      <w:r w:rsidR="00643E8E">
        <w:rPr>
          <w:rFonts w:asciiTheme="majorHAnsi" w:hAnsiTheme="majorHAnsi" w:cstheme="majorHAnsi"/>
          <w:sz w:val="24"/>
          <w:szCs w:val="24"/>
        </w:rPr>
        <w:t>yields long-term savings and profit,</w:t>
      </w:r>
      <w:r w:rsidRPr="008266BC">
        <w:rPr>
          <w:rFonts w:asciiTheme="majorHAnsi" w:hAnsiTheme="majorHAnsi" w:cstheme="majorHAnsi"/>
          <w:sz w:val="24"/>
          <w:szCs w:val="24"/>
        </w:rPr>
        <w:t xml:space="preserve"> based on standard financial evaluation tools.</w:t>
      </w:r>
    </w:p>
    <w:p w14:paraId="013AB8AB" w14:textId="77777777" w:rsidR="00733F74" w:rsidRPr="00643E8E" w:rsidRDefault="0025060F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643E8E">
        <w:rPr>
          <w:rFonts w:cstheme="majorHAnsi"/>
          <w:color w:val="000000" w:themeColor="text1"/>
          <w:sz w:val="24"/>
          <w:szCs w:val="24"/>
        </w:rPr>
        <w:t>2. Methodology</w:t>
      </w:r>
    </w:p>
    <w:p w14:paraId="44CB1B30" w14:textId="77777777" w:rsidR="00733F74" w:rsidRPr="00643E8E" w:rsidRDefault="0025060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>We project annual savings of £3,200 from increased efficiency and improved customer throughput. Yearly maintenance costs range from £200 to £400. A 10% discount rate is applied to calculate Net Present Value (NPV), Internal Rate of Return (IRR), and Payback Period over a 5-year forecast horizon.</w:t>
      </w:r>
    </w:p>
    <w:p w14:paraId="3EDEDA94" w14:textId="77777777" w:rsidR="00733F74" w:rsidRPr="00643E8E" w:rsidRDefault="0025060F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643E8E">
        <w:rPr>
          <w:rFonts w:cstheme="majorHAnsi"/>
          <w:color w:val="000000" w:themeColor="text1"/>
          <w:sz w:val="24"/>
          <w:szCs w:val="24"/>
        </w:rPr>
        <w:t>3. Financial Analysis</w:t>
      </w:r>
    </w:p>
    <w:p w14:paraId="0674326A" w14:textId="77777777" w:rsidR="00733F74" w:rsidRPr="008266BC" w:rsidRDefault="0025060F">
      <w:pPr>
        <w:rPr>
          <w:rFonts w:asciiTheme="majorHAnsi" w:hAnsiTheme="majorHAnsi" w:cstheme="majorHAnsi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>• NPV: £2,274.72</w:t>
      </w:r>
      <w:r w:rsidRPr="008266BC">
        <w:rPr>
          <w:rFonts w:asciiTheme="majorHAnsi" w:hAnsiTheme="majorHAnsi" w:cstheme="majorHAnsi"/>
          <w:sz w:val="24"/>
          <w:szCs w:val="24"/>
        </w:rPr>
        <w:br/>
        <w:t>• IRR: 18.18%</w:t>
      </w:r>
      <w:r w:rsidRPr="008266BC">
        <w:rPr>
          <w:rFonts w:asciiTheme="majorHAnsi" w:hAnsiTheme="majorHAnsi" w:cstheme="majorHAnsi"/>
          <w:sz w:val="24"/>
          <w:szCs w:val="24"/>
        </w:rPr>
        <w:br/>
        <w:t>• Payback Period: 4 years</w:t>
      </w:r>
    </w:p>
    <w:p w14:paraId="32BECD66" w14:textId="77777777" w:rsidR="00733F74" w:rsidRPr="00643E8E" w:rsidRDefault="0025060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>A positive NPV and IRR greater than the discount rate support the investment. The payback period of 4 years ensures recovery of the initial capital well within the forecast period.</w:t>
      </w:r>
    </w:p>
    <w:p w14:paraId="5CDA8111" w14:textId="77777777" w:rsidR="00733F74" w:rsidRPr="00643E8E" w:rsidRDefault="0025060F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643E8E">
        <w:rPr>
          <w:rFonts w:cstheme="majorHAnsi"/>
          <w:color w:val="000000" w:themeColor="text1"/>
          <w:sz w:val="24"/>
          <w:szCs w:val="24"/>
        </w:rPr>
        <w:t>4. Annual Cash Flow Overview</w:t>
      </w:r>
    </w:p>
    <w:p w14:paraId="45966029" w14:textId="77777777" w:rsidR="00733F74" w:rsidRPr="008266BC" w:rsidRDefault="0025060F">
      <w:pPr>
        <w:rPr>
          <w:rFonts w:asciiTheme="majorHAnsi" w:hAnsiTheme="majorHAnsi" w:cstheme="majorHAnsi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>Below is the yearly net cash inflow, after accounting for savings and maintenance costs:</w:t>
      </w:r>
    </w:p>
    <w:p w14:paraId="34F3EFD1" w14:textId="77777777" w:rsidR="00733F74" w:rsidRPr="008266BC" w:rsidRDefault="0025060F">
      <w:pPr>
        <w:rPr>
          <w:rFonts w:asciiTheme="majorHAnsi" w:hAnsiTheme="majorHAnsi" w:cstheme="majorHAnsi"/>
          <w:sz w:val="24"/>
          <w:szCs w:val="24"/>
        </w:rPr>
      </w:pPr>
      <w:r w:rsidRPr="008266B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900CCE6" wp14:editId="5EC17D21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ual_Cash_Flow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067C" w14:textId="57A07BF5" w:rsidR="00733F74" w:rsidRPr="008266BC" w:rsidRDefault="0025060F">
      <w:pPr>
        <w:pStyle w:val="Heading1"/>
        <w:rPr>
          <w:rFonts w:cstheme="majorHAnsi"/>
          <w:sz w:val="24"/>
          <w:szCs w:val="24"/>
        </w:rPr>
      </w:pPr>
      <w:r w:rsidRPr="00643E8E">
        <w:rPr>
          <w:rFonts w:cstheme="majorHAnsi"/>
          <w:color w:val="000000" w:themeColor="text1"/>
          <w:sz w:val="24"/>
          <w:szCs w:val="24"/>
        </w:rPr>
        <w:lastRenderedPageBreak/>
        <w:t>5. Cumulative Cash Flow &amp; Payback Analysis</w:t>
      </w:r>
      <w:r w:rsidR="00643E8E" w:rsidRPr="008266BC">
        <w:rPr>
          <w:rFonts w:cstheme="majorHAnsi"/>
          <w:noProof/>
          <w:sz w:val="24"/>
          <w:szCs w:val="24"/>
        </w:rPr>
        <w:drawing>
          <wp:inline distT="0" distB="0" distL="0" distR="0" wp14:anchorId="42C0405E" wp14:editId="3327309E">
            <wp:extent cx="5029200" cy="3143250"/>
            <wp:effectExtent l="0" t="0" r="0" b="0"/>
            <wp:docPr id="2" name="Picture 2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a green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898F" w14:textId="77777777" w:rsidR="00733F74" w:rsidRPr="008266BC" w:rsidRDefault="0025060F">
      <w:pPr>
        <w:rPr>
          <w:rFonts w:asciiTheme="majorHAnsi" w:hAnsiTheme="majorHAnsi" w:cstheme="majorHAnsi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>Cumulative cash flows illustrate that the investment breaks even during Year 4:</w:t>
      </w:r>
    </w:p>
    <w:p w14:paraId="39DEE381" w14:textId="5A0DCA14" w:rsidR="00733F74" w:rsidRPr="008266BC" w:rsidRDefault="00733F74">
      <w:pPr>
        <w:rPr>
          <w:rFonts w:asciiTheme="majorHAnsi" w:hAnsiTheme="majorHAnsi" w:cstheme="majorHAnsi"/>
          <w:sz w:val="24"/>
          <w:szCs w:val="24"/>
        </w:rPr>
      </w:pPr>
    </w:p>
    <w:p w14:paraId="36CA9A50" w14:textId="77777777" w:rsidR="00733F74" w:rsidRPr="00643E8E" w:rsidRDefault="0025060F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643E8E">
        <w:rPr>
          <w:rFonts w:cstheme="majorHAnsi"/>
          <w:color w:val="000000" w:themeColor="text1"/>
          <w:sz w:val="24"/>
          <w:szCs w:val="24"/>
        </w:rPr>
        <w:t>6. Sensitivity Analysis</w:t>
      </w:r>
    </w:p>
    <w:p w14:paraId="158ECFB9" w14:textId="01772815" w:rsidR="00733F74" w:rsidRPr="008266BC" w:rsidRDefault="0025060F">
      <w:pPr>
        <w:rPr>
          <w:rFonts w:asciiTheme="majorHAnsi" w:hAnsiTheme="majorHAnsi" w:cstheme="majorHAnsi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 xml:space="preserve">We tested the sensitivity of NPV to changes in both annual savings and discount rates. Across all tested scenarios, the investment remains </w:t>
      </w:r>
      <w:r w:rsidR="00643E8E">
        <w:rPr>
          <w:rFonts w:asciiTheme="majorHAnsi" w:hAnsiTheme="majorHAnsi" w:cstheme="majorHAnsi"/>
          <w:sz w:val="24"/>
          <w:szCs w:val="24"/>
        </w:rPr>
        <w:t>favourable</w:t>
      </w:r>
      <w:r w:rsidRPr="008266BC">
        <w:rPr>
          <w:rFonts w:asciiTheme="majorHAnsi" w:hAnsiTheme="majorHAnsi" w:cstheme="majorHAnsi"/>
          <w:sz w:val="24"/>
          <w:szCs w:val="24"/>
        </w:rPr>
        <w:t xml:space="preserve"> unless savings drop significantly or discount rates rise considerably.</w:t>
      </w:r>
    </w:p>
    <w:p w14:paraId="22C3ABD3" w14:textId="77777777" w:rsidR="00733F74" w:rsidRPr="00643E8E" w:rsidRDefault="0025060F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643E8E">
        <w:rPr>
          <w:rFonts w:cstheme="majorHAnsi"/>
          <w:color w:val="000000" w:themeColor="text1"/>
          <w:sz w:val="24"/>
          <w:szCs w:val="24"/>
        </w:rPr>
        <w:t>7. Conclusion</w:t>
      </w:r>
    </w:p>
    <w:p w14:paraId="47A3794C" w14:textId="00A3D525" w:rsidR="00733F74" w:rsidRPr="008266BC" w:rsidRDefault="0025060F">
      <w:pPr>
        <w:rPr>
          <w:rFonts w:asciiTheme="majorHAnsi" w:hAnsiTheme="majorHAnsi" w:cstheme="majorHAnsi"/>
          <w:sz w:val="24"/>
          <w:szCs w:val="24"/>
        </w:rPr>
      </w:pPr>
      <w:r w:rsidRPr="008266BC">
        <w:rPr>
          <w:rFonts w:asciiTheme="majorHAnsi" w:hAnsiTheme="majorHAnsi" w:cstheme="majorHAnsi"/>
          <w:sz w:val="24"/>
          <w:szCs w:val="24"/>
        </w:rPr>
        <w:t xml:space="preserve">The espresso machine investment is supported by positive returns across multiple financial indicators. This study demonstrates </w:t>
      </w:r>
      <w:r w:rsidR="00643E8E">
        <w:rPr>
          <w:rFonts w:asciiTheme="majorHAnsi" w:hAnsiTheme="majorHAnsi" w:cstheme="majorHAnsi"/>
          <w:sz w:val="24"/>
          <w:szCs w:val="24"/>
        </w:rPr>
        <w:t xml:space="preserve">the </w:t>
      </w:r>
      <w:r w:rsidRPr="008266BC">
        <w:rPr>
          <w:rFonts w:asciiTheme="majorHAnsi" w:hAnsiTheme="majorHAnsi" w:cstheme="majorHAnsi"/>
          <w:sz w:val="24"/>
          <w:szCs w:val="24"/>
        </w:rPr>
        <w:t>practical application of capital budgeting tools and shows how data-driven financial models help make strategic investment decisions even in small-scale operations.</w:t>
      </w:r>
    </w:p>
    <w:sectPr w:rsidR="00733F74" w:rsidRPr="008266BC" w:rsidSect="008266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552218">
    <w:abstractNumId w:val="8"/>
  </w:num>
  <w:num w:numId="2" w16cid:durableId="1343358449">
    <w:abstractNumId w:val="6"/>
  </w:num>
  <w:num w:numId="3" w16cid:durableId="152720598">
    <w:abstractNumId w:val="5"/>
  </w:num>
  <w:num w:numId="4" w16cid:durableId="1085687216">
    <w:abstractNumId w:val="4"/>
  </w:num>
  <w:num w:numId="5" w16cid:durableId="1470704535">
    <w:abstractNumId w:val="7"/>
  </w:num>
  <w:num w:numId="6" w16cid:durableId="1733967687">
    <w:abstractNumId w:val="3"/>
  </w:num>
  <w:num w:numId="7" w16cid:durableId="1032461345">
    <w:abstractNumId w:val="2"/>
  </w:num>
  <w:num w:numId="8" w16cid:durableId="1840073446">
    <w:abstractNumId w:val="1"/>
  </w:num>
  <w:num w:numId="9" w16cid:durableId="213335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60F"/>
    <w:rsid w:val="0029639D"/>
    <w:rsid w:val="00326F90"/>
    <w:rsid w:val="00643E8E"/>
    <w:rsid w:val="00704047"/>
    <w:rsid w:val="007058BC"/>
    <w:rsid w:val="00733F74"/>
    <w:rsid w:val="008266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6D057DD-772B-4CDB-AB73-E4426A0F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1425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Mayank Agarwal</cp:lastModifiedBy>
  <cp:revision>5</cp:revision>
  <dcterms:created xsi:type="dcterms:W3CDTF">2013-12-23T23:15:00Z</dcterms:created>
  <dcterms:modified xsi:type="dcterms:W3CDTF">2025-06-07T11:27:00Z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a18401c0-c2f7-493f-9c3f-d01a4ce0a2ba</vt:lpwstr>
  </property>
</Properties>
</file>