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00000"/>
          <w:sz w:val="34"/>
        </w:rPr>
        <w:t>Solar Sentinel: Operational 30-Minute Solar Flare Early Warning via Dual-Sensor X-Ray Radiometry on ISRO Aditya-L1</w:t>
      </w:r>
    </w:p>
    <w:p>
      <w:pPr>
        <w:spacing w:after="60"/>
        <w:jc w:val="center"/>
      </w:pPr>
      <w:r>
        <w:rPr>
          <w:rFonts w:ascii="Times New Roman" w:hAnsi="Times New Roman"/>
          <w:b/>
          <w:sz w:val="20"/>
        </w:rPr>
        <w:t>Mayank Anand</w:t>
      </w:r>
      <w:r>
        <w:rPr>
          <w:rFonts w:ascii="Times New Roman" w:hAnsi="Times New Roman"/>
          <w:sz w:val="16"/>
          <w:vertAlign w:val="superscript"/>
        </w:rPr>
        <w:t xml:space="preserve"> 1,*</w:t>
      </w:r>
      <w:r>
        <w:t xml:space="preserve">, </w:t>
      </w:r>
      <w:r>
        <w:rPr>
          <w:rFonts w:ascii="Times New Roman" w:hAnsi="Times New Roman"/>
          <w:b/>
          <w:sz w:val="20"/>
        </w:rPr>
        <w:t>Aditi Jha</w:t>
      </w:r>
      <w:r>
        <w:rPr>
          <w:rFonts w:ascii="Times New Roman" w:hAnsi="Times New Roman"/>
          <w:sz w:val="16"/>
          <w:vertAlign w:val="superscript"/>
        </w:rPr>
        <w:t xml:space="preserve"> 1</w:t>
      </w:r>
      <w:r>
        <w:t xml:space="preserve">, </w:t>
      </w:r>
      <w:r>
        <w:rPr>
          <w:rFonts w:ascii="Times New Roman" w:hAnsi="Times New Roman"/>
          <w:b/>
          <w:sz w:val="20"/>
        </w:rPr>
        <w:t>Vidushi Kesharwani</w:t>
      </w:r>
      <w:r>
        <w:rPr>
          <w:rFonts w:ascii="Times New Roman" w:hAnsi="Times New Roman"/>
          <w:sz w:val="16"/>
          <w:vertAlign w:val="superscript"/>
        </w:rPr>
        <w:t xml:space="preserve"> 1</w:t>
      </w:r>
      <w:r>
        <w:t xml:space="preserve">, </w:t>
      </w:r>
      <w:r>
        <w:rPr>
          <w:rFonts w:ascii="Times New Roman" w:hAnsi="Times New Roman"/>
          <w:b/>
          <w:sz w:val="20"/>
        </w:rPr>
        <w:t>Gauri Nandana M</w:t>
      </w:r>
      <w:r>
        <w:rPr>
          <w:rFonts w:ascii="Times New Roman" w:hAnsi="Times New Roman"/>
          <w:sz w:val="16"/>
          <w:vertAlign w:val="superscript"/>
        </w:rPr>
        <w:t xml:space="preserve"> 1</w:t>
      </w:r>
      <w:r>
        <w:t xml:space="preserve">, </w:t>
      </w:r>
      <w:r>
        <w:rPr>
          <w:rFonts w:ascii="Times New Roman" w:hAnsi="Times New Roman"/>
          <w:b/>
          <w:sz w:val="20"/>
        </w:rPr>
        <w:t>Prakriti Wadhwani</w:t>
      </w:r>
      <w:r>
        <w:rPr>
          <w:rFonts w:ascii="Times New Roman" w:hAnsi="Times New Roman"/>
          <w:sz w:val="16"/>
          <w:vertAlign w:val="superscript"/>
        </w:rPr>
        <w:t xml:space="preserve"> 1</w:t>
      </w:r>
      <w:r>
        <w:t xml:space="preserve">, </w:t>
      </w:r>
      <w:r>
        <w:rPr>
          <w:rFonts w:ascii="Times New Roman" w:hAnsi="Times New Roman"/>
          <w:b/>
          <w:sz w:val="20"/>
        </w:rPr>
        <w:t>Kasak Fitkariwala</w:t>
      </w:r>
      <w:r>
        <w:rPr>
          <w:rFonts w:ascii="Times New Roman" w:hAnsi="Times New Roman"/>
          <w:sz w:val="16"/>
          <w:vertAlign w:val="superscript"/>
        </w:rPr>
        <w:t xml:space="preserve"> 1</w:t>
      </w:r>
    </w:p>
    <w:p>
      <w:pPr>
        <w:spacing w:after="200"/>
        <w:jc w:val="center"/>
      </w:pPr>
      <w:r>
        <w:rPr>
          <w:rFonts w:ascii="Times New Roman" w:hAnsi="Times New Roman"/>
          <w:i/>
          <w:color w:val="333333"/>
          <w:sz w:val="17"/>
        </w:rPr>
        <w:t>1 Department of Computer Science &amp; Engineering (Specialization in Artificial Intelligence &amp; Machine Learning),</w:t>
        <w:br/>
        <w:t>School of Computing Science Engineering and Artificial Intelligence, VIT Bhopal University, Kothrikalan, Sehore, Madhya Pradesh 466114, India</w:t>
        <w:br/>
        <w:t>* Corresponding Author: Mayank Anand (Lead Architect &amp; Author; Institutional Email: mayank.25bai11209@vitbhopal.ac.in, Personal: dev.mayankanand@gmail.com)</w:t>
      </w:r>
    </w:p>
    <w:p>
      <w:pPr>
        <w:spacing w:after="80" w:line="252" w:lineRule="auto"/>
        <w:ind w:left="432" w:right="432"/>
        <w:jc w:val="both"/>
      </w:pPr>
      <w:r>
        <w:rPr>
          <w:rFonts w:ascii="Times New Roman" w:hAnsi="Times New Roman"/>
          <w:b/>
          <w:sz w:val="18"/>
        </w:rPr>
        <w:t>Abstract—</w:t>
      </w:r>
      <w:r>
        <w:rPr>
          <w:rFonts w:ascii="Times New Roman" w:hAnsi="Times New Roman"/>
          <w:sz w:val="17"/>
        </w:rPr>
        <w:t>Operational forecasting of solar eruptive events has historically relied on photospheric vector magnetograms from low Earth orbit (e.g., SDO/HMI) or single-channel soft X-ray radiometry (e.g., NOAA GOES). While magnetograms trace long-term free magnetic energy accumulation, they lack the sub-minute temporal sensitivity required for short-term (&lt;1 hour) tactical satellite protection. Here, we introduce Solar Sentinel, an open-source machine learning early warning system operating on continuous, dual-instrument X-ray radiometry from India's maiden solar observatory, ISRO Aditya-L1, stationed at the Sun-Earth Lagrange Point 1 (L1). By fusing high-cadence soft X-rays (1–15 keV, SoLEXS) and hard X-rays (12–200 keV, HEL1OS), Solar Sentinel extracts 22 causal, physics-based features characterizing thermal plasma pre-heating, non-thermal electron beam acceleration, and dynamic spectral hardness evolution. To eliminate data leakage and label corruption, we introduce Precursor-Gated Positive Labeling (PGPL) and Stratified Daily Block Partitioning (SDBP). Evaluated on 76,784 continuous minutes (February 2024 – July 2026) benchmarked against NOAA GOES ground truth, Solar Sentinel achieves a 10-fold cross-validation F1 score of 0.772 ± 0.019, ROC AUC = 0.870 ± 0.015, and True Skill Statistic TSS = 0.554 ± 0.035, outperforming the published SDO/HMI baseline of Bringewald &amp; Parisot (MDPI Astronomy 2025, F1 = 0.723). On strictly unseen, temporally isolated 24-hour test blocks, the system achieves F1 = 0.292, TSS = 0.318, and HSS = 0.255, exceeding Persistence (TSS = 0.137, +132%) and k-sigma thresholding (TSS = 0.143, +122%). Single-sensor ablations confirm cross-sensor synergy: dual-sensor forecasting strictly surpasses SoLEXS-only (TSS = 0.283) and HEL1OS-only (TSS = 0.289). TreeSHAP analysis demonstrates that cross-sensor spectral interaction accounts for 31.2% of attribution mass. Operating with sub-50 ms inference latency and zero GPU requirements, Solar Sentinel offers a robust, reproducible architecture for operational edge deployment in space weather monitoring.</w:t>
      </w:r>
    </w:p>
    <w:p>
      <w:pPr>
        <w:spacing w:after="240"/>
        <w:ind w:left="432" w:right="432"/>
        <w:jc w:val="both"/>
      </w:pPr>
      <w:r>
        <w:rPr>
          <w:rFonts w:ascii="Times New Roman" w:hAnsi="Times New Roman"/>
          <w:b/>
          <w:sz w:val="17"/>
        </w:rPr>
        <w:t>Keywords—</w:t>
      </w:r>
      <w:r>
        <w:rPr>
          <w:rFonts w:ascii="Times New Roman" w:hAnsi="Times New Roman"/>
          <w:i/>
          <w:sz w:val="17"/>
        </w:rPr>
        <w:t>Space Weather, Solar Flare Prediction, Aditya-L1, SoLEXS, HEL1OS, XGBoost, Skill Scores, TreeSHAP, Dual-Sensor Fusion.</w:t>
      </w:r>
    </w:p>
    <w:p>
      <w:pPr>
        <w:sectPr>
          <w:pgSz w:w="12240" w:h="15840"/>
          <w:pgMar w:top="1224" w:right="1224" w:bottom="1224" w:left="1224" w:header="720" w:footer="720" w:gutter="0"/>
          <w:cols w:space="720"/>
          <w:docGrid w:linePitch="360"/>
        </w:sectPr>
      </w:pPr>
    </w:p>
    <w:p>
      <w:pPr>
        <w:keepNext/>
        <w:spacing w:before="200" w:after="60"/>
        <w:jc w:val="left"/>
      </w:pPr>
      <w:r>
        <w:rPr>
          <w:rFonts w:ascii="Times New Roman" w:hAnsi="Times New Roman"/>
          <w:b/>
          <w:color w:val="000000"/>
          <w:sz w:val="21"/>
        </w:rPr>
        <w:t>I. INTRODUCTION</w:t>
      </w:r>
    </w:p>
    <w:p>
      <w:pPr>
        <w:spacing w:after="80" w:line="252" w:lineRule="auto"/>
        <w:ind w:firstLine="259"/>
        <w:jc w:val="both"/>
      </w:pPr>
      <w:r>
        <w:rPr>
          <w:rFonts w:ascii="Times New Roman" w:hAnsi="Times New Roman"/>
          <w:color w:val="000000"/>
          <w:sz w:val="19"/>
        </w:rPr>
        <w:t>Solar flares represent catastrophic releases of stored magnetic energy in the solar corona, accelerating charged particles to relativistic velocities and emitting intense radiation across the electromagnetic spectrum from radio frequencies to hard X-rays and gamma rays. Major eruptive events (GOES M- and X-class flares) induce severe radio blackouts in high-frequency aviation communications, degrade Global Navigation Satellite Systems (GNSS), induce hazardous surface charging on spacecraft, and generate dangerous geomagnetically induced currents (GICs) in terrestrial electrical grids. For critical orbital assets, mitigating operational failures requires actionable tactical early warning with lead times of 15 to 45 minutes, enabling spacecraft operators to place sensitive payloads into safe hold modes.</w:t>
      </w:r>
    </w:p>
    <w:p>
      <w:pPr>
        <w:spacing w:after="80" w:line="252" w:lineRule="auto"/>
        <w:ind w:firstLine="259"/>
        <w:jc w:val="both"/>
      </w:pPr>
      <w:r>
        <w:rPr>
          <w:rFonts w:ascii="Times New Roman" w:hAnsi="Times New Roman"/>
          <w:color w:val="000000"/>
          <w:sz w:val="19"/>
        </w:rPr>
        <w:t>Current flare prediction systems fall into two paradigms. Photospheric magnetic field prognosis employs line-of-sight and vector magnetograms (e.g., SDO/HMI SHARP parameters) to estimate flare probability over 24- to 48-hour horizons [1, 10]. While effective for active region evolution, these models suffer from 12-minute cadence latencies, heavy computational overhead, and an inability to resolve the exact trigger time of magnetic reconnection within sub-hour intervals. Conversely, single-channel operational radiometers (e.g., NOAA GOES 0.1–0.8 nm) detect soft X-rays that reflect bulk coronal cooling, triggering alerts primarily at peak emission rather than during the pre-eruptive phase.</w:t>
      </w:r>
    </w:p>
    <w:p>
      <w:pPr>
        <w:spacing w:after="80" w:line="252" w:lineRule="auto"/>
        <w:ind w:firstLine="259"/>
        <w:jc w:val="both"/>
      </w:pPr>
      <w:r>
        <w:rPr>
          <w:rFonts w:ascii="Times New Roman" w:hAnsi="Times New Roman"/>
          <w:color w:val="000000"/>
          <w:sz w:val="19"/>
        </w:rPr>
        <w:t>India's maiden solar mission, Aditya-L1, stationed at the Sun-Earth Lagrangian Point 1 (L1) approximately 1.5 million km from Earth, provides an uninterrupted solar view free from orbital eclipses [4]. Aditya-L1 hosts two complementary X-ray spectrometers: the Solar Low Energy X-ray Spectrometer (SoLEXS, 1–15 keV), which traces thermal precursor coronal loop pre-heating, and the High Energy L1 Orbiting X-ray Spectrometer (HEL1OS, 12–200 keV), which observes non-thermal thick-target electron beam bremsstrahlung. In this work, we present Solar Sentinel, the first end-to-end machine learning framework operationalizing continuous real Aditya-L1 dual telemetry across 76,784 minutes.</w:t>
      </w:r>
    </w:p>
    <w:p>
      <w:pPr>
        <w:keepNext/>
        <w:spacing w:before="200" w:after="60"/>
        <w:jc w:val="left"/>
      </w:pPr>
      <w:r>
        <w:rPr>
          <w:rFonts w:ascii="Times New Roman" w:hAnsi="Times New Roman"/>
          <w:b/>
          <w:color w:val="000000"/>
          <w:sz w:val="21"/>
        </w:rPr>
        <w:t>II. ADITYA-L1 INSTRUMENTS &amp; PIPELINE</w:t>
      </w:r>
    </w:p>
    <w:p>
      <w:pPr>
        <w:keepNext/>
        <w:spacing w:before="140" w:after="60"/>
        <w:jc w:val="left"/>
      </w:pPr>
      <w:r>
        <w:rPr>
          <w:rFonts w:ascii="Times New Roman" w:hAnsi="Times New Roman"/>
          <w:b/>
          <w:i/>
          <w:color w:val="000000"/>
          <w:sz w:val="20"/>
        </w:rPr>
        <w:t>A. Payloads &amp; Physical Regimes</w:t>
      </w:r>
    </w:p>
    <w:p>
      <w:pPr>
        <w:spacing w:after="80" w:line="252" w:lineRule="auto"/>
        <w:ind w:firstLine="259"/>
        <w:jc w:val="both"/>
      </w:pPr>
      <w:r>
        <w:rPr>
          <w:rFonts w:ascii="Times New Roman" w:hAnsi="Times New Roman"/>
          <w:color w:val="000000"/>
          <w:sz w:val="19"/>
        </w:rPr>
        <w:t>SoLEXS employs Silicon Drift Detectors (SDD) measuring 1–15 keV soft X-rays with energy resolution &lt; 250 eV. Pre-flare reconnection causes localized loop heating (10^7 K) detectable in soft X-rays 10 to 45 minutes prior to eruption onset. Concurrently, HEL1OS monitors 12–200 keV hard X-rays via CZT and CsI scintillation detectors [9], detecting downward-precipitating electron beams during impulsive reconnection. Continuous joint observation allows instantaneous discrimination between benign coronal heating and catastrophic flare reconnection.</w:t>
      </w:r>
    </w:p>
    <w:p>
      <w:pPr>
        <w:keepNext/>
        <w:spacing w:before="140" w:after="60"/>
        <w:jc w:val="left"/>
      </w:pPr>
      <w:r>
        <w:rPr>
          <w:rFonts w:ascii="Times New Roman" w:hAnsi="Times New Roman"/>
          <w:b/>
          <w:i/>
          <w:color w:val="000000"/>
          <w:sz w:val="20"/>
        </w:rPr>
        <w:t>B. Telemetry Ingestion &amp; Fusion</w:t>
      </w:r>
    </w:p>
    <w:p>
      <w:pPr>
        <w:spacing w:after="80" w:line="252" w:lineRule="auto"/>
        <w:ind w:firstLine="259"/>
        <w:jc w:val="both"/>
      </w:pPr>
      <w:r>
        <w:rPr>
          <w:rFonts w:ascii="Times New Roman" w:hAnsi="Times New Roman"/>
          <w:color w:val="000000"/>
          <w:sz w:val="19"/>
        </w:rPr>
        <w:t>The automated ingestion engine (pipeline/ingest.py) extracts Level-1 scientific tables from raw PRADAN archive files spanning February 2024 through July 2026. The pipeline performs time-sorting across asynchronous packet arrival timestamps, resamples telemetry to a uniform 1-minute cadence with causal forward-interpolation (maximum limit: 5 minutes) to bridge telemetry dropouts, and computes the fused payload flux:</w:t>
      </w:r>
    </w:p>
    <w:tbl>
      <w:tblPr>
        <w:tblW w:type="auto" w:w="0"/>
        <w:jc w:val="center"/>
        <w:tblLook w:firstColumn="1" w:firstRow="1" w:lastColumn="0" w:lastRow="0" w:noHBand="0" w:noVBand="1" w:val="04A0"/>
      </w:tblPr>
      <w:tblGrid>
        <w:gridCol w:w="4896"/>
        <w:gridCol w:w="4896"/>
      </w:tblGrid>
      <w:tr>
        <w:tc>
          <w:tcPr>
            <w:tcW w:type="dxa" w:w="3960"/>
            <w:vAlign w:val="center"/>
            <w:tcBorders>
              <w:top w:val="none"/>
              <w:left w:val="none"/>
              <w:bottom w:val="none"/>
              <w:right w:val="none"/>
            </w:tcBorders>
            <w:tcMar>
              <w:top w:w="20" w:type="dxa"/>
              <w:bottom w:w="20" w:type="dxa"/>
              <w:left w:w="20" w:type="dxa"/>
              <w:right w:w="20" w:type="dxa"/>
            </w:tcMar>
          </w:tcPr>
          <w:p>
            <w:pPr>
              <w:spacing w:before="40" w:after="40"/>
              <w:jc w:val="center"/>
            </w:pPr>
            <m:oMathPara>
              <m:oMath>
                <m:sSub>
                  <m:e>
                    <m:r>
                      <m:t>F</m:t>
                    </m:r>
                  </m:e>
                  <m:sub>
                    <m:r>
                      <m:t>fused</m:t>
                    </m:r>
                  </m:sub>
                </m:sSub>
                <m:r>
                  <m:t>(t) = 0.5 · </m:t>
                </m:r>
                <m:sSub>
                  <m:e>
                    <m:r>
                      <m:t>F</m:t>
                    </m:r>
                  </m:e>
                  <m:sub>
                    <m:r>
                      <m:t>SoLEXS</m:t>
                    </m:r>
                  </m:sub>
                </m:sSub>
                <m:r>
                  <m:t>(t) + 0.5 · </m:t>
                </m:r>
                <m:sSub>
                  <m:e>
                    <m:r>
                      <m:t>F</m:t>
                    </m:r>
                  </m:e>
                  <m:sub>
                    <m:r>
                      <m:t>HEL1OS</m:t>
                    </m:r>
                  </m:sub>
                </m:sSub>
                <m:r>
                  <m:t>(t)</m:t>
                </m:r>
              </m:oMath>
            </m:oMathPara>
          </w:p>
        </w:tc>
        <w:tc>
          <w:tcPr>
            <w:tcW w:type="dxa" w:w="648"/>
            <w:vAlign w:val="center"/>
            <w:tcBorders>
              <w:top w:val="none"/>
              <w:left w:val="none"/>
              <w:bottom w:val="none"/>
              <w:right w:val="none"/>
            </w:tcBorders>
            <w:tcMar>
              <w:top w:w="20" w:type="dxa"/>
              <w:bottom w:w="20" w:type="dxa"/>
              <w:left w:w="20" w:type="dxa"/>
              <w:right w:w="20" w:type="dxa"/>
            </w:tcMar>
          </w:tcPr>
          <w:p>
            <w:pPr>
              <w:spacing w:before="40" w:after="40"/>
              <w:jc w:val="right"/>
            </w:pPr>
            <w:r>
              <w:rPr>
                <w:rFonts w:ascii="Times New Roman" w:hAnsi="Times New Roman"/>
                <w:color w:val="000000"/>
                <w:sz w:val="19"/>
              </w:rPr>
              <w:t>(1)</w:t>
            </w:r>
          </w:p>
        </w:tc>
      </w:tr>
    </w:tbl>
    <w:p>
      <w:pPr>
        <w:spacing w:after="40"/>
      </w:pPr>
    </w:p>
    <w:p>
      <w:pPr>
        <w:spacing w:after="80" w:line="252" w:lineRule="auto"/>
        <w:ind w:firstLine="259"/>
        <w:jc w:val="both"/>
      </w:pPr>
      <w:r>
        <w:rPr>
          <w:rFonts w:ascii="Times New Roman" w:hAnsi="Times New Roman"/>
          <w:color w:val="000000"/>
          <w:sz w:val="19"/>
        </w:rPr>
        <w:t>The resulting continuous mission time series spans 76,784 synchronized 1-minute observations.</w:t>
      </w:r>
    </w:p>
    <w:p>
      <w:pPr>
        <w:keepNext/>
        <w:spacing w:before="200" w:after="60"/>
        <w:jc w:val="left"/>
      </w:pPr>
      <w:r>
        <w:rPr>
          <w:rFonts w:ascii="Times New Roman" w:hAnsi="Times New Roman"/>
          <w:b/>
          <w:color w:val="000000"/>
          <w:sz w:val="21"/>
        </w:rPr>
        <w:t>III. METHODOLOGY &amp; MATHEMATICAL FORMULATION</w:t>
      </w:r>
    </w:p>
    <w:p>
      <w:pPr>
        <w:keepNext/>
        <w:spacing w:before="140" w:after="60"/>
        <w:jc w:val="left"/>
      </w:pPr>
      <w:r>
        <w:rPr>
          <w:rFonts w:ascii="Times New Roman" w:hAnsi="Times New Roman"/>
          <w:b/>
          <w:i/>
          <w:color w:val="000000"/>
          <w:sz w:val="20"/>
        </w:rPr>
        <w:t>A. Causal Physics-Informed Feature Space</w:t>
      </w:r>
    </w:p>
    <w:p>
      <w:pPr>
        <w:spacing w:after="80" w:line="252" w:lineRule="auto"/>
        <w:ind w:firstLine="259"/>
        <w:jc w:val="both"/>
      </w:pPr>
      <w:r>
        <w:rPr>
          <w:rFonts w:ascii="Times New Roman" w:hAnsi="Times New Roman"/>
          <w:color w:val="000000"/>
          <w:sz w:val="19"/>
        </w:rPr>
        <w:t>To strictly eliminate future temporal data leakage, all rolling statistics enforce center = False. Every feature at time t is computed exclusively from historical observations in [t - W, t]. Normalization relies on a 90-minute causal rolling median and standard deviation:</w:t>
      </w:r>
    </w:p>
    <w:tbl>
      <w:tblPr>
        <w:tblW w:type="auto" w:w="0"/>
        <w:jc w:val="center"/>
        <w:tblLook w:firstColumn="1" w:firstRow="1" w:lastColumn="0" w:lastRow="0" w:noHBand="0" w:noVBand="1" w:val="04A0"/>
      </w:tblPr>
      <w:tblGrid>
        <w:gridCol w:w="4896"/>
        <w:gridCol w:w="4896"/>
      </w:tblGrid>
      <w:tr>
        <w:tc>
          <w:tcPr>
            <w:tcW w:type="dxa" w:w="3960"/>
            <w:vAlign w:val="center"/>
            <w:tcBorders>
              <w:top w:val="none"/>
              <w:left w:val="none"/>
              <w:bottom w:val="none"/>
              <w:right w:val="none"/>
            </w:tcBorders>
            <w:tcMar>
              <w:top w:w="20" w:type="dxa"/>
              <w:bottom w:w="20" w:type="dxa"/>
              <w:left w:w="20" w:type="dxa"/>
              <w:right w:w="20" w:type="dxa"/>
            </w:tcMar>
          </w:tcPr>
          <w:p>
            <w:pPr>
              <w:spacing w:before="40" w:after="40"/>
              <w:jc w:val="center"/>
            </w:pPr>
            <m:oMathPara>
              <m:oMath>
                <m:sSup>
                  <m:e>
                    <m:r>
                      <m:t>B</m:t>
                    </m:r>
                  </m:e>
                  <m:sup>
                    <m:r>
                      <m:t>S</m:t>
                    </m:r>
                  </m:sup>
                </m:sSup>
                <m:r>
                  <m:t>(t) = </m:t>
                </m:r>
                <m:sSub>
                  <m:e>
                    <m:r>
                      <m:t>median</m:t>
                    </m:r>
                  </m:e>
                  <m:sub>
                    <m:r>
                      <m:t>90</m:t>
                    </m:r>
                  </m:sub>
                </m:sSub>
                <m:d>
                  <m:dPr>
                    <m:begChr m:val="{"/>
                    <m:endChr m:val="}"/>
                  </m:dPr>
                  <m:e>
                    <m:sSubSup>
                      <m:e>
                        <m:r>
                          <m:t>F</m:t>
                        </m:r>
                      </m:e>
                      <m:sub>
                        <m:r>
                          <m:t>t-89</m:t>
                        </m:r>
                      </m:sub>
                      <m:sup>
                        <m:r>
                          <m:t>S</m:t>
                        </m:r>
                      </m:sup>
                    </m:sSubSup>
                    <m:r>
                      <m:t>, </m:t>
                    </m:r>
                    <m:sSubSup>
                      <m:e>
                        <m:r>
                          <m:t>F</m:t>
                        </m:r>
                      </m:e>
                      <m:sub>
                        <m:r>
                          <m:t>t-88</m:t>
                        </m:r>
                      </m:sub>
                      <m:sup>
                        <m:r>
                          <m:t>S</m:t>
                        </m:r>
                      </m:sup>
                    </m:sSubSup>
                    <m:r>
                      <m:t>, ..., </m:t>
                    </m:r>
                    <m:sSubSup>
                      <m:e>
                        <m:r>
                          <m:t>F</m:t>
                        </m:r>
                      </m:e>
                      <m:sub>
                        <m:r>
                          <m:t>t</m:t>
                        </m:r>
                      </m:sub>
                      <m:sup>
                        <m:r>
                          <m:t>S</m:t>
                        </m:r>
                      </m:sup>
                    </m:sSubSup>
                  </m:e>
                </m:d>
              </m:oMath>
            </m:oMathPara>
          </w:p>
        </w:tc>
        <w:tc>
          <w:tcPr>
            <w:tcW w:type="dxa" w:w="648"/>
            <w:vAlign w:val="center"/>
            <w:tcBorders>
              <w:top w:val="none"/>
              <w:left w:val="none"/>
              <w:bottom w:val="none"/>
              <w:right w:val="none"/>
            </w:tcBorders>
            <w:tcMar>
              <w:top w:w="20" w:type="dxa"/>
              <w:bottom w:w="20" w:type="dxa"/>
              <w:left w:w="20" w:type="dxa"/>
              <w:right w:w="20" w:type="dxa"/>
            </w:tcMar>
          </w:tcPr>
          <w:p>
            <w:pPr>
              <w:spacing w:before="40" w:after="40"/>
              <w:jc w:val="right"/>
            </w:pPr>
            <w:r>
              <w:rPr>
                <w:rFonts w:ascii="Times New Roman" w:hAnsi="Times New Roman"/>
                <w:color w:val="000000"/>
                <w:sz w:val="19"/>
              </w:rPr>
              <w:t>(2)</w:t>
            </w:r>
          </w:p>
        </w:tc>
      </w:tr>
    </w:tbl>
    <w:p>
      <w:pPr>
        <w:spacing w:after="40"/>
      </w:pPr>
    </w:p>
    <w:tbl>
      <w:tblPr>
        <w:tblW w:type="auto" w:w="0"/>
        <w:jc w:val="center"/>
        <w:tblLook w:firstColumn="1" w:firstRow="1" w:lastColumn="0" w:lastRow="0" w:noHBand="0" w:noVBand="1" w:val="04A0"/>
      </w:tblPr>
      <w:tblGrid>
        <w:gridCol w:w="4896"/>
        <w:gridCol w:w="4896"/>
      </w:tblGrid>
      <w:tr>
        <w:tc>
          <w:tcPr>
            <w:tcW w:type="dxa" w:w="3960"/>
            <w:vAlign w:val="center"/>
            <w:tcBorders>
              <w:top w:val="none"/>
              <w:left w:val="none"/>
              <w:bottom w:val="none"/>
              <w:right w:val="none"/>
            </w:tcBorders>
            <w:tcMar>
              <w:top w:w="20" w:type="dxa"/>
              <w:bottom w:w="20" w:type="dxa"/>
              <w:left w:w="20" w:type="dxa"/>
              <w:right w:w="20" w:type="dxa"/>
            </w:tcMar>
          </w:tcPr>
          <w:p>
            <w:pPr>
              <w:spacing w:before="40" w:after="40"/>
              <w:jc w:val="center"/>
            </w:pPr>
            <m:oMathPara>
              <m:oMath>
                <m:sSup>
                  <m:e>
                    <m:r>
                      <m:t>σ</m:t>
                    </m:r>
                  </m:e>
                  <m:sup>
                    <m:r>
                      <m:t>S</m:t>
                    </m:r>
                  </m:sup>
                </m:sSup>
                <m:r>
                  <m:t>(t) = </m:t>
                </m:r>
                <m:rad>
                  <m:radPr>
                    <m:degHide/>
                  </m:radPr>
                  <m:e>
                    <m:f>
                      <m:num>
                        <m:r>
                          <m:t>1</m:t>
                        </m:r>
                      </m:num>
                      <m:den>
                        <m:r>
                          <m:t>90</m:t>
                        </m:r>
                      </m:den>
                    </m:f>
                    <m:nary>
                      <m:naryPr>
                        <m:chr m:val="∑"/>
                      </m:naryPr>
                      <m:sub>
                        <m:r>
                          <m:t>i=0</m:t>
                        </m:r>
                      </m:sub>
                      <m:sup>
                        <m:r>
                          <m:t>89</m:t>
                        </m:r>
                      </m:sup>
                      <m:e>
                        <m:sSup>
                          <m:e>
                            <m:d>
                              <m:e>
                                <m:sSubSup>
                                  <m:e>
                                    <m:r>
                                      <m:t>F</m:t>
                                    </m:r>
                                  </m:e>
                                  <m:sub>
                                    <m:r>
                                      <m:t>t-i</m:t>
                                    </m:r>
                                  </m:sub>
                                  <m:sup>
                                    <m:r>
                                      <m:t>S</m:t>
                                    </m:r>
                                  </m:sup>
                                </m:sSubSup>
                                <m:r>
                                  <m:t> - </m:t>
                                </m:r>
                                <m:sSup>
                                  <m:e>
                                    <m:r>
                                      <m:t>B</m:t>
                                    </m:r>
                                  </m:e>
                                  <m:sup>
                                    <m:r>
                                      <m:t>S</m:t>
                                    </m:r>
                                  </m:sup>
                                </m:sSup>
                                <m:r>
                                  <m:t>(t)</m:t>
                                </m:r>
                              </m:e>
                            </m:d>
                          </m:e>
                          <m:sup>
                            <m:r>
                              <m:t>2</m:t>
                            </m:r>
                          </m:sup>
                        </m:sSup>
                      </m:e>
                    </m:nary>
                  </m:e>
                </m:rad>
                <m:r>
                  <m:t> + ε</m:t>
                </m:r>
              </m:oMath>
            </m:oMathPara>
          </w:p>
        </w:tc>
        <w:tc>
          <w:tcPr>
            <w:tcW w:type="dxa" w:w="648"/>
            <w:vAlign w:val="center"/>
            <w:tcBorders>
              <w:top w:val="none"/>
              <w:left w:val="none"/>
              <w:bottom w:val="none"/>
              <w:right w:val="none"/>
            </w:tcBorders>
            <w:tcMar>
              <w:top w:w="20" w:type="dxa"/>
              <w:bottom w:w="20" w:type="dxa"/>
              <w:left w:w="20" w:type="dxa"/>
              <w:right w:w="20" w:type="dxa"/>
            </w:tcMar>
          </w:tcPr>
          <w:p>
            <w:pPr>
              <w:spacing w:before="40" w:after="40"/>
              <w:jc w:val="right"/>
            </w:pPr>
            <w:r>
              <w:rPr>
                <w:rFonts w:ascii="Times New Roman" w:hAnsi="Times New Roman"/>
                <w:color w:val="000000"/>
                <w:sz w:val="19"/>
              </w:rPr>
              <w:t>(3)</w:t>
            </w:r>
          </w:p>
        </w:tc>
      </w:tr>
    </w:tbl>
    <w:p>
      <w:pPr>
        <w:spacing w:after="40"/>
      </w:pPr>
    </w:p>
    <w:p>
      <w:pPr>
        <w:spacing w:after="80" w:line="252" w:lineRule="auto"/>
        <w:ind w:firstLine="259"/>
        <w:jc w:val="both"/>
      </w:pPr>
      <w:r>
        <w:rPr>
          <w:rFonts w:ascii="Times New Roman" w:hAnsi="Times New Roman"/>
          <w:color w:val="000000"/>
          <w:sz w:val="19"/>
        </w:rPr>
        <w:t>The normalized soft X-ray anomaly is expressed as:</w:t>
      </w:r>
    </w:p>
    <w:tbl>
      <w:tblPr>
        <w:tblW w:type="auto" w:w="0"/>
        <w:jc w:val="center"/>
        <w:tblLook w:firstColumn="1" w:firstRow="1" w:lastColumn="0" w:lastRow="0" w:noHBand="0" w:noVBand="1" w:val="04A0"/>
      </w:tblPr>
      <w:tblGrid>
        <w:gridCol w:w="4896"/>
        <w:gridCol w:w="4896"/>
      </w:tblGrid>
      <w:tr>
        <w:tc>
          <w:tcPr>
            <w:tcW w:type="dxa" w:w="3960"/>
            <w:vAlign w:val="center"/>
            <w:tcBorders>
              <w:top w:val="none"/>
              <w:left w:val="none"/>
              <w:bottom w:val="none"/>
              <w:right w:val="none"/>
            </w:tcBorders>
            <w:tcMar>
              <w:top w:w="20" w:type="dxa"/>
              <w:bottom w:w="20" w:type="dxa"/>
              <w:left w:w="20" w:type="dxa"/>
              <w:right w:w="20" w:type="dxa"/>
            </w:tcMar>
          </w:tcPr>
          <w:p>
            <w:pPr>
              <w:spacing w:before="40" w:after="40"/>
              <w:jc w:val="center"/>
            </w:pPr>
            <m:oMathPara>
              <m:oMath>
                <m:sSup>
                  <m:e>
                    <m:r>
                      <m:t>z</m:t>
                    </m:r>
                  </m:e>
                  <m:sup>
                    <m:r>
                      <m:t>S</m:t>
                    </m:r>
                  </m:sup>
                </m:sSup>
                <m:r>
                  <m:t>(t) = </m:t>
                </m:r>
                <m:f>
                  <m:num>
                    <m:sSup>
                      <m:e>
                        <m:r>
                          <m:t>F</m:t>
                        </m:r>
                      </m:e>
                      <m:sup>
                        <m:r>
                          <m:t>S</m:t>
                        </m:r>
                      </m:sup>
                    </m:sSup>
                    <m:r>
                      <m:t>(t) - </m:t>
                    </m:r>
                    <m:sSup>
                      <m:e>
                        <m:r>
                          <m:t>B</m:t>
                        </m:r>
                      </m:e>
                      <m:sup>
                        <m:r>
                          <m:t>S</m:t>
                        </m:r>
                      </m:sup>
                    </m:sSup>
                    <m:r>
                      <m:t>(t)</m:t>
                    </m:r>
                  </m:num>
                  <m:den>
                    <m:sSup>
                      <m:e>
                        <m:r>
                          <m:t>σ</m:t>
                        </m:r>
                      </m:e>
                      <m:sup>
                        <m:r>
                          <m:t>S</m:t>
                        </m:r>
                      </m:sup>
                    </m:sSup>
                    <m:r>
                      <m:t>(t)</m:t>
                    </m:r>
                  </m:den>
                </m:f>
              </m:oMath>
            </m:oMathPara>
          </w:p>
        </w:tc>
        <w:tc>
          <w:tcPr>
            <w:tcW w:type="dxa" w:w="648"/>
            <w:vAlign w:val="center"/>
            <w:tcBorders>
              <w:top w:val="none"/>
              <w:left w:val="none"/>
              <w:bottom w:val="none"/>
              <w:right w:val="none"/>
            </w:tcBorders>
            <w:tcMar>
              <w:top w:w="20" w:type="dxa"/>
              <w:bottom w:w="20" w:type="dxa"/>
              <w:left w:w="20" w:type="dxa"/>
              <w:right w:w="20" w:type="dxa"/>
            </w:tcMar>
          </w:tcPr>
          <w:p>
            <w:pPr>
              <w:spacing w:before="40" w:after="40"/>
              <w:jc w:val="right"/>
            </w:pPr>
            <w:r>
              <w:rPr>
                <w:rFonts w:ascii="Times New Roman" w:hAnsi="Times New Roman"/>
                <w:color w:val="000000"/>
                <w:sz w:val="19"/>
              </w:rPr>
              <w:t>(4)</w:t>
            </w:r>
          </w:p>
        </w:tc>
      </w:tr>
    </w:tbl>
    <w:p>
      <w:pPr>
        <w:spacing w:after="40"/>
      </w:pPr>
    </w:p>
    <w:p>
      <w:pPr>
        <w:spacing w:after="80" w:line="252" w:lineRule="auto"/>
        <w:ind w:firstLine="259"/>
        <w:jc w:val="both"/>
      </w:pPr>
      <w:r>
        <w:rPr>
          <w:rFonts w:ascii="Times New Roman" w:hAnsi="Times New Roman"/>
          <w:color w:val="000000"/>
          <w:sz w:val="19"/>
        </w:rPr>
        <w:t>Multi-scale rates of change across causal windows w in {5, 15, 30} minutes trace heating velocity:</w:t>
      </w:r>
    </w:p>
    <w:tbl>
      <w:tblPr>
        <w:tblW w:type="auto" w:w="0"/>
        <w:jc w:val="center"/>
        <w:tblLook w:firstColumn="1" w:firstRow="1" w:lastColumn="0" w:lastRow="0" w:noHBand="0" w:noVBand="1" w:val="04A0"/>
      </w:tblPr>
      <w:tblGrid>
        <w:gridCol w:w="4896"/>
        <w:gridCol w:w="4896"/>
      </w:tblGrid>
      <w:tr>
        <w:tc>
          <w:tcPr>
            <w:tcW w:type="dxa" w:w="3960"/>
            <w:vAlign w:val="center"/>
            <w:tcBorders>
              <w:top w:val="none"/>
              <w:left w:val="none"/>
              <w:bottom w:val="none"/>
              <w:right w:val="none"/>
            </w:tcBorders>
            <w:tcMar>
              <w:top w:w="20" w:type="dxa"/>
              <w:bottom w:w="20" w:type="dxa"/>
              <w:left w:w="20" w:type="dxa"/>
              <w:right w:w="20" w:type="dxa"/>
            </w:tcMar>
          </w:tcPr>
          <w:p>
            <w:pPr>
              <w:spacing w:before="40" w:after="40"/>
              <w:jc w:val="center"/>
            </w:pPr>
            <m:oMathPara>
              <m:oMath>
                <m:sSubSup>
                  <m:e>
                    <m:r>
                      <m:t>RoC</m:t>
                    </m:r>
                  </m:e>
                  <m:sub>
                    <m:r>
                      <m:t>w</m:t>
                    </m:r>
                  </m:sub>
                  <m:sup>
                    <m:r>
                      <m:t>S</m:t>
                    </m:r>
                  </m:sup>
                </m:sSubSup>
                <m:r>
                  <m:t>(t) = </m:t>
                </m:r>
                <m:f>
                  <m:num>
                    <m:sSup>
                      <m:e>
                        <m:r>
                          <m:t>F</m:t>
                        </m:r>
                      </m:e>
                      <m:sup>
                        <m:r>
                          <m:t>S</m:t>
                        </m:r>
                      </m:sup>
                    </m:sSup>
                    <m:r>
                      <m:t>(t) - </m:t>
                    </m:r>
                    <m:sSup>
                      <m:e>
                        <m:r>
                          <m:t>F</m:t>
                        </m:r>
                      </m:e>
                      <m:sup>
                        <m:r>
                          <m:t>S</m:t>
                        </m:r>
                      </m:sup>
                    </m:sSup>
                    <m:r>
                      <m:t>(t - w)</m:t>
                    </m:r>
                  </m:num>
                  <m:den>
                    <m:d>
                      <m:dPr>
                        <m:begChr m:val="|"/>
                        <m:endChr m:val="|"/>
                      </m:dPr>
                      <m:e>
                        <m:sSup>
                          <m:e>
                            <m:r>
                              <m:t>F</m:t>
                            </m:r>
                          </m:e>
                          <m:sup>
                            <m:r>
                              <m:t>S</m:t>
                            </m:r>
                          </m:sup>
                        </m:sSup>
                        <m:r>
                          <m:t>(t - w)</m:t>
                        </m:r>
                      </m:e>
                    </m:d>
                    <m:r>
                      <m:t> + ε</m:t>
                    </m:r>
                  </m:den>
                </m:f>
                <m:r>
                  <m:t>,  w ∈ {5, 15, 30}</m:t>
                </m:r>
              </m:oMath>
            </m:oMathPara>
          </w:p>
        </w:tc>
        <w:tc>
          <w:tcPr>
            <w:tcW w:type="dxa" w:w="648"/>
            <w:vAlign w:val="center"/>
            <w:tcBorders>
              <w:top w:val="none"/>
              <w:left w:val="none"/>
              <w:bottom w:val="none"/>
              <w:right w:val="none"/>
            </w:tcBorders>
            <w:tcMar>
              <w:top w:w="20" w:type="dxa"/>
              <w:bottom w:w="20" w:type="dxa"/>
              <w:left w:w="20" w:type="dxa"/>
              <w:right w:w="20" w:type="dxa"/>
            </w:tcMar>
          </w:tcPr>
          <w:p>
            <w:pPr>
              <w:spacing w:before="40" w:after="40"/>
              <w:jc w:val="right"/>
            </w:pPr>
            <w:r>
              <w:rPr>
                <w:rFonts w:ascii="Times New Roman" w:hAnsi="Times New Roman"/>
                <w:color w:val="000000"/>
                <w:sz w:val="19"/>
              </w:rPr>
              <w:t>(5)</w:t>
            </w:r>
          </w:p>
        </w:tc>
      </w:tr>
    </w:tbl>
    <w:p>
      <w:pPr>
        <w:spacing w:after="40"/>
      </w:pPr>
    </w:p>
    <w:p>
      <w:pPr>
        <w:spacing w:after="80" w:line="252" w:lineRule="auto"/>
        <w:ind w:firstLine="259"/>
        <w:jc w:val="both"/>
      </w:pPr>
      <w:r>
        <w:rPr>
          <w:rFonts w:ascii="Times New Roman" w:hAnsi="Times New Roman"/>
          <w:color w:val="000000"/>
          <w:sz w:val="19"/>
        </w:rPr>
        <w:t>Thermal coronal heating acceleration is defined as:</w:t>
      </w:r>
    </w:p>
    <w:tbl>
      <w:tblPr>
        <w:tblW w:type="auto" w:w="0"/>
        <w:jc w:val="center"/>
        <w:tblLook w:firstColumn="1" w:firstRow="1" w:lastColumn="0" w:lastRow="0" w:noHBand="0" w:noVBand="1" w:val="04A0"/>
      </w:tblPr>
      <w:tblGrid>
        <w:gridCol w:w="4896"/>
        <w:gridCol w:w="4896"/>
      </w:tblGrid>
      <w:tr>
        <w:tc>
          <w:tcPr>
            <w:tcW w:type="dxa" w:w="3960"/>
            <w:vAlign w:val="center"/>
            <w:tcBorders>
              <w:top w:val="none"/>
              <w:left w:val="none"/>
              <w:bottom w:val="none"/>
              <w:right w:val="none"/>
            </w:tcBorders>
            <w:tcMar>
              <w:top w:w="20" w:type="dxa"/>
              <w:bottom w:w="20" w:type="dxa"/>
              <w:left w:w="20" w:type="dxa"/>
              <w:right w:w="20" w:type="dxa"/>
            </w:tcMar>
          </w:tcPr>
          <w:p>
            <w:pPr>
              <w:spacing w:before="40" w:after="40"/>
              <w:jc w:val="center"/>
            </w:pPr>
            <m:oMathPara>
              <m:oMath>
                <m:sSubSup>
                  <m:e>
                    <m:r>
                      <m:t>α</m:t>
                    </m:r>
                  </m:e>
                  <m:sub>
                    <m:r>
                      <m:t>15</m:t>
                    </m:r>
                  </m:sub>
                  <m:sup>
                    <m:r>
                      <m:t>S</m:t>
                    </m:r>
                  </m:sup>
                </m:sSubSup>
                <m:r>
                  <m:t>(t) = </m:t>
                </m:r>
                <m:sSubSup>
                  <m:e>
                    <m:r>
                      <m:t>RoC</m:t>
                    </m:r>
                  </m:e>
                  <m:sub>
                    <m:r>
                      <m:t>15</m:t>
                    </m:r>
                  </m:sub>
                  <m:sup>
                    <m:r>
                      <m:t>S</m:t>
                    </m:r>
                  </m:sup>
                </m:sSubSup>
                <m:r>
                  <m:t>(t) - </m:t>
                </m:r>
                <m:sSubSup>
                  <m:e>
                    <m:r>
                      <m:t>RoC</m:t>
                    </m:r>
                  </m:e>
                  <m:sub>
                    <m:r>
                      <m:t>15</m:t>
                    </m:r>
                  </m:sub>
                  <m:sup>
                    <m:r>
                      <m:t>S</m:t>
                    </m:r>
                  </m:sup>
                </m:sSubSup>
                <m:r>
                  <m:t>(t - 5)</m:t>
                </m:r>
              </m:oMath>
            </m:oMathPara>
          </w:p>
        </w:tc>
        <w:tc>
          <w:tcPr>
            <w:tcW w:type="dxa" w:w="648"/>
            <w:vAlign w:val="center"/>
            <w:tcBorders>
              <w:top w:val="none"/>
              <w:left w:val="none"/>
              <w:bottom w:val="none"/>
              <w:right w:val="none"/>
            </w:tcBorders>
            <w:tcMar>
              <w:top w:w="20" w:type="dxa"/>
              <w:bottom w:w="20" w:type="dxa"/>
              <w:left w:w="20" w:type="dxa"/>
              <w:right w:w="20" w:type="dxa"/>
            </w:tcMar>
          </w:tcPr>
          <w:p>
            <w:pPr>
              <w:spacing w:before="40" w:after="40"/>
              <w:jc w:val="right"/>
            </w:pPr>
            <w:r>
              <w:rPr>
                <w:rFonts w:ascii="Times New Roman" w:hAnsi="Times New Roman"/>
                <w:color w:val="000000"/>
                <w:sz w:val="19"/>
              </w:rPr>
              <w:t>(6)</w:t>
            </w:r>
          </w:p>
        </w:tc>
      </w:tr>
    </w:tbl>
    <w:p>
      <w:pPr>
        <w:spacing w:after="40"/>
      </w:pPr>
    </w:p>
    <w:p>
      <w:pPr>
        <w:spacing w:after="80" w:line="252" w:lineRule="auto"/>
        <w:ind w:firstLine="259"/>
        <w:jc w:val="both"/>
      </w:pPr>
      <w:r>
        <w:rPr>
          <w:rFonts w:ascii="Times New Roman" w:hAnsi="Times New Roman"/>
          <w:color w:val="000000"/>
          <w:sz w:val="19"/>
        </w:rPr>
        <w:t>Cross-sensor interaction features capture dynamic spectral hardness evolution:</w:t>
      </w:r>
    </w:p>
    <w:tbl>
      <w:tblPr>
        <w:tblW w:type="auto" w:w="0"/>
        <w:jc w:val="center"/>
        <w:tblLook w:firstColumn="1" w:firstRow="1" w:lastColumn="0" w:lastRow="0" w:noHBand="0" w:noVBand="1" w:val="04A0"/>
      </w:tblPr>
      <w:tblGrid>
        <w:gridCol w:w="4896"/>
        <w:gridCol w:w="4896"/>
      </w:tblGrid>
      <w:tr>
        <w:tc>
          <w:tcPr>
            <w:tcW w:type="dxa" w:w="3960"/>
            <w:vAlign w:val="center"/>
            <w:tcBorders>
              <w:top w:val="none"/>
              <w:left w:val="none"/>
              <w:bottom w:val="none"/>
              <w:right w:val="none"/>
            </w:tcBorders>
            <w:tcMar>
              <w:top w:w="20" w:type="dxa"/>
              <w:bottom w:w="20" w:type="dxa"/>
              <w:left w:w="20" w:type="dxa"/>
              <w:right w:w="20" w:type="dxa"/>
            </w:tcMar>
          </w:tcPr>
          <w:p>
            <w:pPr>
              <w:spacing w:before="40" w:after="40"/>
              <w:jc w:val="center"/>
            </w:pPr>
            <m:oMathPara>
              <m:oMath>
                <m:sSub>
                  <m:e>
                    <m:r>
                      <m:t>H</m:t>
                    </m:r>
                  </m:e>
                  <m:sub>
                    <m:r>
                      <m:t>S</m:t>
                    </m:r>
                  </m:sub>
                </m:sSub>
                <m:r>
                  <m:t>(t) = min</m:t>
                </m:r>
                <m:d>
                  <m:e>
                    <m:r>
                      <m:t>10.0, </m:t>
                    </m:r>
                    <m:f>
                      <m:num>
                        <m:sSup>
                          <m:e>
                            <m:r>
                              <m:t>F</m:t>
                            </m:r>
                          </m:e>
                          <m:sup>
                            <m:r>
                              <m:t>H</m:t>
                            </m:r>
                          </m:sup>
                        </m:sSup>
                        <m:r>
                          <m:t>(t)</m:t>
                        </m:r>
                      </m:num>
                      <m:den>
                        <m:sSup>
                          <m:e>
                            <m:r>
                              <m:t>F</m:t>
                            </m:r>
                          </m:e>
                          <m:sup>
                            <m:r>
                              <m:t>S</m:t>
                            </m:r>
                          </m:sup>
                        </m:sSup>
                        <m:r>
                          <m:t>(t) + ε</m:t>
                        </m:r>
                      </m:den>
                    </m:f>
                  </m:e>
                </m:d>
              </m:oMath>
            </m:oMathPara>
          </w:p>
        </w:tc>
        <w:tc>
          <w:tcPr>
            <w:tcW w:type="dxa" w:w="648"/>
            <w:vAlign w:val="center"/>
            <w:tcBorders>
              <w:top w:val="none"/>
              <w:left w:val="none"/>
              <w:bottom w:val="none"/>
              <w:right w:val="none"/>
            </w:tcBorders>
            <w:tcMar>
              <w:top w:w="20" w:type="dxa"/>
              <w:bottom w:w="20" w:type="dxa"/>
              <w:left w:w="20" w:type="dxa"/>
              <w:right w:w="20" w:type="dxa"/>
            </w:tcMar>
          </w:tcPr>
          <w:p>
            <w:pPr>
              <w:spacing w:before="40" w:after="40"/>
              <w:jc w:val="right"/>
            </w:pPr>
            <w:r>
              <w:rPr>
                <w:rFonts w:ascii="Times New Roman" w:hAnsi="Times New Roman"/>
                <w:color w:val="000000"/>
                <w:sz w:val="19"/>
              </w:rPr>
              <w:t>(7)</w:t>
            </w:r>
          </w:p>
        </w:tc>
      </w:tr>
    </w:tbl>
    <w:p>
      <w:pPr>
        <w:spacing w:after="40"/>
      </w:pPr>
    </w:p>
    <w:tbl>
      <w:tblPr>
        <w:tblW w:type="auto" w:w="0"/>
        <w:jc w:val="center"/>
        <w:tblLook w:firstColumn="1" w:firstRow="1" w:lastColumn="0" w:lastRow="0" w:noHBand="0" w:noVBand="1" w:val="04A0"/>
      </w:tblPr>
      <w:tblGrid>
        <w:gridCol w:w="4896"/>
        <w:gridCol w:w="4896"/>
      </w:tblGrid>
      <w:tr>
        <w:tc>
          <w:tcPr>
            <w:tcW w:type="dxa" w:w="3960"/>
            <w:vAlign w:val="center"/>
            <w:tcBorders>
              <w:top w:val="none"/>
              <w:left w:val="none"/>
              <w:bottom w:val="none"/>
              <w:right w:val="none"/>
            </w:tcBorders>
            <w:tcMar>
              <w:top w:w="20" w:type="dxa"/>
              <w:bottom w:w="20" w:type="dxa"/>
              <w:left w:w="20" w:type="dxa"/>
              <w:right w:w="20" w:type="dxa"/>
            </w:tcMar>
          </w:tcPr>
          <w:p>
            <w:pPr>
              <w:spacing w:before="40" w:after="40"/>
              <w:jc w:val="center"/>
            </w:pPr>
            <m:oMathPara>
              <m:oMath>
                <m:sSub>
                  <m:e>
                    <m:r>
                      <m:t>E</m:t>
                    </m:r>
                  </m:e>
                  <m:sub>
                    <m:r>
                      <m:t>partition</m:t>
                    </m:r>
                  </m:sub>
                </m:sSub>
                <m:r>
                  <m:t>(t) = ln</m:t>
                </m:r>
                <m:d>
                  <m:e>
                    <m:r>
                      <m:t>1 + </m:t>
                    </m:r>
                    <m:sSup>
                      <m:e>
                        <m:r>
                          <m:t>F</m:t>
                        </m:r>
                      </m:e>
                      <m:sup>
                        <m:r>
                          <m:t>H</m:t>
                        </m:r>
                      </m:sup>
                    </m:sSup>
                    <m:r>
                      <m:t>(t)</m:t>
                    </m:r>
                  </m:e>
                </m:d>
                <m:r>
                  <m:t> - ln</m:t>
                </m:r>
                <m:d>
                  <m:e>
                    <m:r>
                      <m:t>1 + </m:t>
                    </m:r>
                    <m:sSup>
                      <m:e>
                        <m:r>
                          <m:t>F</m:t>
                        </m:r>
                      </m:e>
                      <m:sup>
                        <m:r>
                          <m:t>S</m:t>
                        </m:r>
                      </m:sup>
                    </m:sSup>
                    <m:r>
                      <m:t>(t)</m:t>
                    </m:r>
                  </m:e>
                </m:d>
              </m:oMath>
            </m:oMathPara>
          </w:p>
        </w:tc>
        <w:tc>
          <w:tcPr>
            <w:tcW w:type="dxa" w:w="648"/>
            <w:vAlign w:val="center"/>
            <w:tcBorders>
              <w:top w:val="none"/>
              <w:left w:val="none"/>
              <w:bottom w:val="none"/>
              <w:right w:val="none"/>
            </w:tcBorders>
            <w:tcMar>
              <w:top w:w="20" w:type="dxa"/>
              <w:bottom w:w="20" w:type="dxa"/>
              <w:left w:w="20" w:type="dxa"/>
              <w:right w:w="20" w:type="dxa"/>
            </w:tcMar>
          </w:tcPr>
          <w:p>
            <w:pPr>
              <w:spacing w:before="40" w:after="40"/>
              <w:jc w:val="right"/>
            </w:pPr>
            <w:r>
              <w:rPr>
                <w:rFonts w:ascii="Times New Roman" w:hAnsi="Times New Roman"/>
                <w:color w:val="000000"/>
                <w:sz w:val="19"/>
              </w:rPr>
              <w:t>(8)</w:t>
            </w:r>
          </w:p>
        </w:tc>
      </w:tr>
    </w:tbl>
    <w:p>
      <w:pPr>
        <w:spacing w:after="40"/>
      </w:pPr>
    </w:p>
    <w:p>
      <w:pPr>
        <w:keepNext/>
        <w:spacing w:before="140" w:after="60"/>
        <w:jc w:val="left"/>
      </w:pPr>
      <w:r>
        <w:rPr>
          <w:rFonts w:ascii="Times New Roman" w:hAnsi="Times New Roman"/>
          <w:b/>
          <w:i/>
          <w:color w:val="000000"/>
          <w:sz w:val="20"/>
        </w:rPr>
        <w:t>B. Precursor-Gated Positive Labeling (PGPL)</w:t>
      </w:r>
    </w:p>
    <w:p>
      <w:pPr>
        <w:spacing w:after="80" w:line="252" w:lineRule="auto"/>
        <w:ind w:firstLine="259"/>
        <w:jc w:val="both"/>
      </w:pPr>
      <w:r>
        <w:rPr>
          <w:rFonts w:ascii="Times New Roman" w:hAnsi="Times New Roman"/>
          <w:color w:val="000000"/>
          <w:sz w:val="19"/>
        </w:rPr>
        <w:t>Conventional horizon labeling marks every minute in [t_start - Delta, t_start] as positive. However, during the early portion of a 30-minute window, the solar corona is frequently in quiescent equilibrium, introducing label noise. PGPL resolves this via an observational departure gate:</w:t>
      </w:r>
    </w:p>
    <w:tbl>
      <w:tblPr>
        <w:tblW w:type="auto" w:w="0"/>
        <w:jc w:val="center"/>
        <w:tblLook w:firstColumn="1" w:firstRow="1" w:lastColumn="0" w:lastRow="0" w:noHBand="0" w:noVBand="1" w:val="04A0"/>
      </w:tblPr>
      <w:tblGrid>
        <w:gridCol w:w="4896"/>
        <w:gridCol w:w="4896"/>
      </w:tblGrid>
      <w:tr>
        <w:tc>
          <w:tcPr>
            <w:tcW w:type="dxa" w:w="3960"/>
            <w:vAlign w:val="center"/>
            <w:tcBorders>
              <w:top w:val="none"/>
              <w:left w:val="none"/>
              <w:bottom w:val="none"/>
              <w:right w:val="none"/>
            </w:tcBorders>
            <w:tcMar>
              <w:top w:w="20" w:type="dxa"/>
              <w:bottom w:w="20" w:type="dxa"/>
              <w:left w:w="20" w:type="dxa"/>
              <w:right w:w="20" w:type="dxa"/>
            </w:tcMar>
          </w:tcPr>
          <w:p>
            <w:pPr>
              <w:spacing w:before="40" w:after="40"/>
              <w:jc w:val="center"/>
            </w:pPr>
            <m:oMathPara>
              <m:oMath>
                <m:r>
                  <m:t>y(t) = 𝕀</m:t>
                </m:r>
                <m:d>
                  <m:dPr>
                    <m:begChr m:val="["/>
                    <m:endChr m:val="]"/>
                  </m:dPr>
                  <m:e>
                    <m:r>
                      <m:t>t ∈ </m:t>
                    </m:r>
                    <m:sSub>
                      <m:e>
                        <m:r>
                          <m:t>𝒲</m:t>
                        </m:r>
                      </m:e>
                      <m:sub>
                        <m:r>
                          <m:t>active</m:t>
                        </m:r>
                      </m:sub>
                    </m:sSub>
                    <m:r>
                      <m:t> ∪ </m:t>
                    </m:r>
                    <m:d>
                      <m:e>
                        <m:sSub>
                          <m:e>
                            <m:r>
                              <m:t>𝒲</m:t>
                            </m:r>
                          </m:e>
                          <m:sub>
                            <m:r>
                              <m:t>precursor</m:t>
                            </m:r>
                          </m:sub>
                        </m:sSub>
                        <m:r>
                          <m:t> ∩ 𝒢(t)</m:t>
                        </m:r>
                      </m:e>
                    </m:d>
                  </m:e>
                </m:d>
              </m:oMath>
            </m:oMathPara>
          </w:p>
        </w:tc>
        <w:tc>
          <w:tcPr>
            <w:tcW w:type="dxa" w:w="648"/>
            <w:vAlign w:val="center"/>
            <w:tcBorders>
              <w:top w:val="none"/>
              <w:left w:val="none"/>
              <w:bottom w:val="none"/>
              <w:right w:val="none"/>
            </w:tcBorders>
            <w:tcMar>
              <w:top w:w="20" w:type="dxa"/>
              <w:bottom w:w="20" w:type="dxa"/>
              <w:left w:w="20" w:type="dxa"/>
              <w:right w:w="20" w:type="dxa"/>
            </w:tcMar>
          </w:tcPr>
          <w:p>
            <w:pPr>
              <w:spacing w:before="40" w:after="40"/>
              <w:jc w:val="right"/>
            </w:pPr>
            <w:r>
              <w:rPr>
                <w:rFonts w:ascii="Times New Roman" w:hAnsi="Times New Roman"/>
                <w:color w:val="000000"/>
                <w:sz w:val="19"/>
              </w:rPr>
              <w:t>(9)</w:t>
            </w:r>
          </w:p>
        </w:tc>
      </w:tr>
    </w:tbl>
    <w:p>
      <w:pPr>
        <w:spacing w:after="40"/>
      </w:pPr>
    </w:p>
    <w:p>
      <w:pPr>
        <w:spacing w:after="80" w:line="252" w:lineRule="auto"/>
        <w:ind w:firstLine="259"/>
        <w:jc w:val="both"/>
      </w:pPr>
      <w:r>
        <w:rPr>
          <w:rFonts w:ascii="Times New Roman" w:hAnsi="Times New Roman"/>
          <w:color w:val="000000"/>
          <w:sz w:val="19"/>
        </w:rPr>
        <w:t>where W_active = [t_start, min(t_end, t_start + 15 min)], W_precursor = [t_start - Delta, t_start), and the gate G(t) is defined as:</w:t>
      </w:r>
    </w:p>
    <w:tbl>
      <w:tblPr>
        <w:tblW w:type="auto" w:w="0"/>
        <w:jc w:val="center"/>
        <w:tblLook w:firstColumn="1" w:firstRow="1" w:lastColumn="0" w:lastRow="0" w:noHBand="0" w:noVBand="1" w:val="04A0"/>
      </w:tblPr>
      <w:tblGrid>
        <w:gridCol w:w="4896"/>
        <w:gridCol w:w="4896"/>
      </w:tblGrid>
      <w:tr>
        <w:tc>
          <w:tcPr>
            <w:tcW w:type="dxa" w:w="3960"/>
            <w:vAlign w:val="center"/>
            <w:tcBorders>
              <w:top w:val="none"/>
              <w:left w:val="none"/>
              <w:bottom w:val="none"/>
              <w:right w:val="none"/>
            </w:tcBorders>
            <w:tcMar>
              <w:top w:w="20" w:type="dxa"/>
              <w:bottom w:w="20" w:type="dxa"/>
              <w:left w:w="20" w:type="dxa"/>
              <w:right w:w="20" w:type="dxa"/>
            </w:tcMar>
          </w:tcPr>
          <w:p>
            <w:pPr>
              <w:spacing w:before="40" w:after="40"/>
              <w:jc w:val="center"/>
            </w:pPr>
            <m:oMathPara>
              <m:oMath>
                <m:r>
                  <m:t>𝒢(t) = </m:t>
                </m:r>
                <m:d>
                  <m:dPr>
                    <m:begChr m:val="{"/>
                    <m:endChr m:val="}"/>
                  </m:dPr>
                  <m:e>
                    <m:sSup>
                      <m:e>
                        <m:r>
                          <m:t>z</m:t>
                        </m:r>
                      </m:e>
                      <m:sup>
                        <m:r>
                          <m:t>S</m:t>
                        </m:r>
                      </m:sup>
                    </m:sSup>
                    <m:r>
                      <m:t>(t) ≥ 0.35</m:t>
                    </m:r>
                  </m:e>
                </m:d>
                <m:r>
                  <m:t> ∪ </m:t>
                </m:r>
                <m:d>
                  <m:dPr>
                    <m:begChr m:val="{"/>
                    <m:endChr m:val="}"/>
                  </m:dPr>
                  <m:e>
                    <m:sSubSup>
                      <m:e>
                        <m:r>
                          <m:t>RoC</m:t>
                        </m:r>
                      </m:e>
                      <m:sub>
                        <m:r>
                          <m:t>5</m:t>
                        </m:r>
                      </m:sub>
                      <m:sup>
                        <m:r>
                          <m:t>S</m:t>
                        </m:r>
                      </m:sup>
                    </m:sSubSup>
                    <m:r>
                      <m:t>(t) ≥ 0.01</m:t>
                    </m:r>
                  </m:e>
                </m:d>
                <m:r>
                  <m:t> ∪ </m:t>
                </m:r>
                <m:d>
                  <m:dPr>
                    <m:begChr m:val="{"/>
                    <m:endChr m:val="}"/>
                  </m:dPr>
                  <m:e>
                    <m:sSub>
                      <m:e>
                        <m:r>
                          <m:t>z</m:t>
                        </m:r>
                      </m:e>
                      <m:sub>
                        <m:r>
                          <m:t>fused</m:t>
                        </m:r>
                      </m:sub>
                    </m:sSub>
                    <m:r>
                      <m:t>(t) ≥ 0.35</m:t>
                    </m:r>
                  </m:e>
                </m:d>
              </m:oMath>
            </m:oMathPara>
          </w:p>
        </w:tc>
        <w:tc>
          <w:tcPr>
            <w:tcW w:type="dxa" w:w="648"/>
            <w:vAlign w:val="center"/>
            <w:tcBorders>
              <w:top w:val="none"/>
              <w:left w:val="none"/>
              <w:bottom w:val="none"/>
              <w:right w:val="none"/>
            </w:tcBorders>
            <w:tcMar>
              <w:top w:w="20" w:type="dxa"/>
              <w:bottom w:w="20" w:type="dxa"/>
              <w:left w:w="20" w:type="dxa"/>
              <w:right w:w="20" w:type="dxa"/>
            </w:tcMar>
          </w:tcPr>
          <w:p>
            <w:pPr>
              <w:spacing w:before="40" w:after="40"/>
              <w:jc w:val="right"/>
            </w:pPr>
            <w:r>
              <w:rPr>
                <w:rFonts w:ascii="Times New Roman" w:hAnsi="Times New Roman"/>
                <w:color w:val="000000"/>
                <w:sz w:val="19"/>
              </w:rPr>
              <w:t>(10)</w:t>
            </w:r>
          </w:p>
        </w:tc>
      </w:tr>
    </w:tbl>
    <w:p>
      <w:pPr>
        <w:spacing w:after="40"/>
      </w:pPr>
    </w:p>
    <w:p>
      <w:pPr>
        <w:keepNext/>
        <w:spacing w:before="140" w:after="60"/>
        <w:jc w:val="left"/>
      </w:pPr>
      <w:r>
        <w:rPr>
          <w:rFonts w:ascii="Times New Roman" w:hAnsi="Times New Roman"/>
          <w:b/>
          <w:i/>
          <w:color w:val="000000"/>
          <w:sz w:val="20"/>
        </w:rPr>
        <w:t>C. Stratified Daily Block Partitioning (SDBP)</w:t>
      </w:r>
    </w:p>
    <w:p>
      <w:pPr>
        <w:spacing w:after="80" w:line="252" w:lineRule="auto"/>
        <w:ind w:firstLine="259"/>
        <w:jc w:val="both"/>
      </w:pPr>
      <w:r>
        <w:rPr>
          <w:rFonts w:ascii="Times New Roman" w:hAnsi="Times New Roman"/>
          <w:color w:val="000000"/>
          <w:sz w:val="19"/>
        </w:rPr>
        <w:t>Random splits cause severe temporal leakage because adjacent minutes share rolling baselines. SDBP partitions the dataset into non-overlapping 24-hour diurnal blocks B_i (1,440 minutes per block). Blocks are segregated into Active (B^A: &gt;= 1 event) and Quiet (B^Q: zero events) pools:</w:t>
      </w:r>
    </w:p>
    <w:tbl>
      <w:tblPr>
        <w:tblW w:type="auto" w:w="0"/>
        <w:jc w:val="center"/>
        <w:tblLook w:firstColumn="1" w:firstRow="1" w:lastColumn="0" w:lastRow="0" w:noHBand="0" w:noVBand="1" w:val="04A0"/>
      </w:tblPr>
      <w:tblGrid>
        <w:gridCol w:w="4896"/>
        <w:gridCol w:w="4896"/>
      </w:tblGrid>
      <w:tr>
        <w:tc>
          <w:tcPr>
            <w:tcW w:type="dxa" w:w="3960"/>
            <w:vAlign w:val="center"/>
            <w:tcBorders>
              <w:top w:val="none"/>
              <w:left w:val="none"/>
              <w:bottom w:val="none"/>
              <w:right w:val="none"/>
            </w:tcBorders>
            <w:tcMar>
              <w:top w:w="20" w:type="dxa"/>
              <w:bottom w:w="20" w:type="dxa"/>
              <w:left w:w="20" w:type="dxa"/>
              <w:right w:w="20" w:type="dxa"/>
            </w:tcMar>
          </w:tcPr>
          <w:p>
            <w:pPr>
              <w:spacing w:before="40" w:after="40"/>
              <w:jc w:val="center"/>
            </w:pPr>
            <m:oMathPara>
              <m:oMath>
                <m:sSub>
                  <m:e>
                    <m:r>
                      <m:t>𝒟</m:t>
                    </m:r>
                  </m:e>
                  <m:sub>
                    <m:r>
                      <m:t>train</m:t>
                    </m:r>
                  </m:sub>
                </m:sSub>
                <m:r>
                  <m:t> = </m:t>
                </m:r>
                <m:d>
                  <m:e>
                    <m:nary>
                      <m:naryPr>
                        <m:chr m:val="⋃"/>
                      </m:naryPr>
                      <m:sub>
                        <m:r>
                          <m:t>i: i mod 10 &lt; 7</m:t>
                        </m:r>
                      </m:sub>
                      <m:sup>
                        <m:r>
                          <m:t/>
                        </m:r>
                      </m:sup>
                      <m:e>
                        <m:sSubSup>
                          <m:e>
                            <m:r>
                              <m:t>ℬ</m:t>
                            </m:r>
                          </m:e>
                          <m:sub>
                            <m:r>
                              <m:t>i</m:t>
                            </m:r>
                          </m:sub>
                          <m:sup>
                            <m:r>
                              <m:t>A</m:t>
                            </m:r>
                          </m:sup>
                        </m:sSubSup>
                      </m:e>
                    </m:nary>
                  </m:e>
                </m:d>
                <m:r>
                  <m:t> ∪ </m:t>
                </m:r>
                <m:d>
                  <m:e>
                    <m:nary>
                      <m:naryPr>
                        <m:chr m:val="⋃"/>
                      </m:naryPr>
                      <m:sub>
                        <m:r>
                          <m:t>j: j mod 10 &lt; 7</m:t>
                        </m:r>
                      </m:sub>
                      <m:sup>
                        <m:r>
                          <m:t/>
                        </m:r>
                      </m:sup>
                      <m:e>
                        <m:sSubSup>
                          <m:e>
                            <m:r>
                              <m:t>ℬ</m:t>
                            </m:r>
                          </m:e>
                          <m:sub>
                            <m:r>
                              <m:t>j</m:t>
                            </m:r>
                          </m:sub>
                          <m:sup>
                            <m:r>
                              <m:t>Q</m:t>
                            </m:r>
                          </m:sup>
                        </m:sSubSup>
                      </m:e>
                    </m:nary>
                  </m:e>
                </m:d>
              </m:oMath>
            </m:oMathPara>
          </w:p>
        </w:tc>
        <w:tc>
          <w:tcPr>
            <w:tcW w:type="dxa" w:w="648"/>
            <w:vAlign w:val="center"/>
            <w:tcBorders>
              <w:top w:val="none"/>
              <w:left w:val="none"/>
              <w:bottom w:val="none"/>
              <w:right w:val="none"/>
            </w:tcBorders>
            <w:tcMar>
              <w:top w:w="20" w:type="dxa"/>
              <w:bottom w:w="20" w:type="dxa"/>
              <w:left w:w="20" w:type="dxa"/>
              <w:right w:w="20" w:type="dxa"/>
            </w:tcMar>
          </w:tcPr>
          <w:p>
            <w:pPr>
              <w:spacing w:before="40" w:after="40"/>
              <w:jc w:val="right"/>
            </w:pPr>
            <w:r>
              <w:rPr>
                <w:rFonts w:ascii="Times New Roman" w:hAnsi="Times New Roman"/>
                <w:color w:val="000000"/>
                <w:sz w:val="19"/>
              </w:rPr>
              <w:t>(11)</w:t>
            </w:r>
          </w:p>
        </w:tc>
      </w:tr>
    </w:tbl>
    <w:p>
      <w:pPr>
        <w:spacing w:after="40"/>
      </w:pPr>
    </w:p>
    <w:tbl>
      <w:tblPr>
        <w:tblW w:type="auto" w:w="0"/>
        <w:jc w:val="center"/>
        <w:tblLook w:firstColumn="1" w:firstRow="1" w:lastColumn="0" w:lastRow="0" w:noHBand="0" w:noVBand="1" w:val="04A0"/>
      </w:tblPr>
      <w:tblGrid>
        <w:gridCol w:w="4896"/>
        <w:gridCol w:w="4896"/>
      </w:tblGrid>
      <w:tr>
        <w:tc>
          <w:tcPr>
            <w:tcW w:type="dxa" w:w="3960"/>
            <w:vAlign w:val="center"/>
            <w:tcBorders>
              <w:top w:val="none"/>
              <w:left w:val="none"/>
              <w:bottom w:val="none"/>
              <w:right w:val="none"/>
            </w:tcBorders>
            <w:tcMar>
              <w:top w:w="20" w:type="dxa"/>
              <w:bottom w:w="20" w:type="dxa"/>
              <w:left w:w="20" w:type="dxa"/>
              <w:right w:w="20" w:type="dxa"/>
            </w:tcMar>
          </w:tcPr>
          <w:p>
            <w:pPr>
              <w:spacing w:before="40" w:after="40"/>
              <w:jc w:val="center"/>
            </w:pPr>
            <m:oMathPara>
              <m:oMath>
                <m:sSub>
                  <m:e>
                    <m:r>
                      <m:t>𝒟</m:t>
                    </m:r>
                  </m:e>
                  <m:sub>
                    <m:r>
                      <m:t>test</m:t>
                    </m:r>
                  </m:sub>
                </m:sSub>
                <m:r>
                  <m:t> = </m:t>
                </m:r>
                <m:d>
                  <m:e>
                    <m:nary>
                      <m:naryPr>
                        <m:chr m:val="⋃"/>
                      </m:naryPr>
                      <m:sub>
                        <m:r>
                          <m:t>i: i mod 10 ≥ 7</m:t>
                        </m:r>
                      </m:sub>
                      <m:sup>
                        <m:r>
                          <m:t/>
                        </m:r>
                      </m:sup>
                      <m:e>
                        <m:sSubSup>
                          <m:e>
                            <m:r>
                              <m:t>ℬ</m:t>
                            </m:r>
                          </m:e>
                          <m:sub>
                            <m:r>
                              <m:t>i</m:t>
                            </m:r>
                          </m:sub>
                          <m:sup>
                            <m:r>
                              <m:t>A</m:t>
                            </m:r>
                          </m:sup>
                        </m:sSubSup>
                      </m:e>
                    </m:nary>
                  </m:e>
                </m:d>
                <m:r>
                  <m:t> ∪ </m:t>
                </m:r>
                <m:d>
                  <m:e>
                    <m:nary>
                      <m:naryPr>
                        <m:chr m:val="⋃"/>
                      </m:naryPr>
                      <m:sub>
                        <m:r>
                          <m:t>j: j mod 10 ≥ 7</m:t>
                        </m:r>
                      </m:sub>
                      <m:sup>
                        <m:r>
                          <m:t/>
                        </m:r>
                      </m:sup>
                      <m:e>
                        <m:sSubSup>
                          <m:e>
                            <m:r>
                              <m:t>ℬ</m:t>
                            </m:r>
                          </m:e>
                          <m:sub>
                            <m:r>
                              <m:t>j</m:t>
                            </m:r>
                          </m:sub>
                          <m:sup>
                            <m:r>
                              <m:t>Q</m:t>
                            </m:r>
                          </m:sup>
                        </m:sSubSup>
                      </m:e>
                    </m:nary>
                  </m:e>
                </m:d>
              </m:oMath>
            </m:oMathPara>
          </w:p>
        </w:tc>
        <w:tc>
          <w:tcPr>
            <w:tcW w:type="dxa" w:w="648"/>
            <w:vAlign w:val="center"/>
            <w:tcBorders>
              <w:top w:val="none"/>
              <w:left w:val="none"/>
              <w:bottom w:val="none"/>
              <w:right w:val="none"/>
            </w:tcBorders>
            <w:tcMar>
              <w:top w:w="20" w:type="dxa"/>
              <w:bottom w:w="20" w:type="dxa"/>
              <w:left w:w="20" w:type="dxa"/>
              <w:right w:w="20" w:type="dxa"/>
            </w:tcMar>
          </w:tcPr>
          <w:p>
            <w:pPr>
              <w:spacing w:before="40" w:after="40"/>
              <w:jc w:val="right"/>
            </w:pPr>
            <w:r>
              <w:rPr>
                <w:rFonts w:ascii="Times New Roman" w:hAnsi="Times New Roman"/>
                <w:color w:val="000000"/>
                <w:sz w:val="19"/>
              </w:rPr>
              <w:t>(12)</w:t>
            </w:r>
          </w:p>
        </w:tc>
      </w:tr>
    </w:tbl>
    <w:p>
      <w:pPr>
        <w:spacing w:after="40"/>
      </w:pPr>
    </w:p>
    <w:p>
      <w:pPr>
        <w:keepNext/>
        <w:spacing w:before="140" w:after="60"/>
        <w:jc w:val="left"/>
      </w:pPr>
      <w:r>
        <w:rPr>
          <w:rFonts w:ascii="Times New Roman" w:hAnsi="Times New Roman"/>
          <w:b/>
          <w:i/>
          <w:color w:val="000000"/>
          <w:sz w:val="20"/>
        </w:rPr>
        <w:t>D. Optimization &amp; Verification Metrics</w:t>
      </w:r>
    </w:p>
    <w:p>
      <w:pPr>
        <w:spacing w:after="80" w:line="252" w:lineRule="auto"/>
        <w:ind w:firstLine="259"/>
        <w:jc w:val="both"/>
      </w:pPr>
      <w:r>
        <w:rPr>
          <w:rFonts w:ascii="Times New Roman" w:hAnsi="Times New Roman"/>
          <w:color w:val="000000"/>
          <w:sz w:val="19"/>
        </w:rPr>
        <w:t>The model is a regularized XGBoost classifier trained with cost-sensitive weighting to minimize regularized log-loss:</w:t>
      </w:r>
    </w:p>
    <w:tbl>
      <w:tblPr>
        <w:tblW w:type="auto" w:w="0"/>
        <w:jc w:val="center"/>
        <w:tblLook w:firstColumn="1" w:firstRow="1" w:lastColumn="0" w:lastRow="0" w:noHBand="0" w:noVBand="1" w:val="04A0"/>
      </w:tblPr>
      <w:tblGrid>
        <w:gridCol w:w="4896"/>
        <w:gridCol w:w="4896"/>
      </w:tblGrid>
      <w:tr>
        <w:tc>
          <w:tcPr>
            <w:tcW w:type="dxa" w:w="3960"/>
            <w:vAlign w:val="center"/>
            <w:tcBorders>
              <w:top w:val="none"/>
              <w:left w:val="none"/>
              <w:bottom w:val="none"/>
              <w:right w:val="none"/>
            </w:tcBorders>
            <w:tcMar>
              <w:top w:w="20" w:type="dxa"/>
              <w:bottom w:w="20" w:type="dxa"/>
              <w:left w:w="20" w:type="dxa"/>
              <w:right w:w="20" w:type="dxa"/>
            </w:tcMar>
          </w:tcPr>
          <w:p>
            <w:pPr>
              <w:spacing w:before="40" w:after="40"/>
              <w:jc w:val="center"/>
            </w:pPr>
            <m:oMathPara>
              <m:oMath>
                <m:r>
                  <m:t>ℒ(Θ) = </m:t>
                </m:r>
                <m:nary>
                  <m:naryPr>
                    <m:chr m:val="∑"/>
                  </m:naryPr>
                  <m:sub>
                    <m:r>
                      <m:t>i=1</m:t>
                    </m:r>
                  </m:sub>
                  <m:sup>
                    <m:r>
                      <m:t>N</m:t>
                    </m:r>
                  </m:sup>
                  <m:e>
                    <m:r>
                      <m:t>ℓ(</m:t>
                    </m:r>
                    <m:sSub>
                      <m:e>
                        <m:r>
                          <m:t>y</m:t>
                        </m:r>
                      </m:e>
                      <m:sub>
                        <m:r>
                          <m:t>i</m:t>
                        </m:r>
                      </m:sub>
                    </m:sSub>
                    <m:r>
                      <m:t>, </m:t>
                    </m:r>
                    <m:sSub>
                      <m:e>
                        <m:r>
                          <m:t>ŷ</m:t>
                        </m:r>
                      </m:e>
                      <m:sub>
                        <m:r>
                          <m:t>i</m:t>
                        </m:r>
                      </m:sub>
                    </m:sSub>
                    <m:r>
                      <m:t>; </m:t>
                    </m:r>
                    <m:sSub>
                      <m:e>
                        <m:r>
                          <m:t>w</m:t>
                        </m:r>
                      </m:e>
                      <m:sub>
                        <m:r>
                          <m:t>pos</m:t>
                        </m:r>
                      </m:sub>
                    </m:sSub>
                    <m:r>
                      <m:t>) + </m:t>
                    </m:r>
                  </m:e>
                </m:nary>
                <m:nary>
                  <m:naryPr>
                    <m:chr m:val="∑"/>
                  </m:naryPr>
                  <m:sub>
                    <m:r>
                      <m:t>k=1</m:t>
                    </m:r>
                  </m:sub>
                  <m:sup>
                    <m:r>
                      <m:t>K</m:t>
                    </m:r>
                  </m:sup>
                  <m:e>
                    <m:d>
                      <m:dPr>
                        <m:begChr m:val="["/>
                        <m:endChr m:val="]"/>
                      </m:dPr>
                      <m:e>
                        <m:r>
                          <m:t>γ </m:t>
                        </m:r>
                        <m:sSub>
                          <m:e>
                            <m:r>
                              <m:t>T</m:t>
                            </m:r>
                          </m:e>
                          <m:sub>
                            <m:r>
                              <m:t>k</m:t>
                            </m:r>
                          </m:sub>
                        </m:sSub>
                        <m:r>
                          <m:t> + </m:t>
                        </m:r>
                        <m:f>
                          <m:num>
                            <m:r>
                              <m:t>1</m:t>
                            </m:r>
                          </m:num>
                          <m:den>
                            <m:r>
                              <m:t>2</m:t>
                            </m:r>
                          </m:den>
                        </m:f>
                        <m:r>
                          <m:t>λ </m:t>
                        </m:r>
                        <m:nary>
                          <m:naryPr>
                            <m:chr m:val="∑"/>
                          </m:naryPr>
                          <m:sub>
                            <m:r>
                              <m:t>j=1</m:t>
                            </m:r>
                          </m:sub>
                          <m:sup>
                            <m:sSub>
                              <m:e>
                                <m:r>
                                  <m:t>T</m:t>
                                </m:r>
                              </m:e>
                              <m:sub>
                                <m:r>
                                  <m:t>k</m:t>
                                </m:r>
                              </m:sub>
                            </m:sSub>
                          </m:sup>
                          <m:e>
                            <m:sSubSup>
                              <m:e>
                                <m:r>
                                  <m:t>w</m:t>
                                </m:r>
                              </m:e>
                              <m:sub>
                                <m:r>
                                  <m:t>kj</m:t>
                                </m:r>
                              </m:sub>
                              <m:sup>
                                <m:r>
                                  <m:t>2</m:t>
                                </m:r>
                              </m:sup>
                            </m:sSubSup>
                          </m:e>
                        </m:nary>
                        <m:r>
                          <m:t> + α </m:t>
                        </m:r>
                        <m:nary>
                          <m:naryPr>
                            <m:chr m:val="∑"/>
                          </m:naryPr>
                          <m:sub>
                            <m:r>
                              <m:t>j=1</m:t>
                            </m:r>
                          </m:sub>
                          <m:sup>
                            <m:sSub>
                              <m:e>
                                <m:r>
                                  <m:t>T</m:t>
                                </m:r>
                              </m:e>
                              <m:sub>
                                <m:r>
                                  <m:t>k</m:t>
                                </m:r>
                              </m:sub>
                            </m:sSub>
                          </m:sup>
                          <m:e>
                            <m:d>
                              <m:dPr>
                                <m:begChr m:val="|"/>
                                <m:endChr m:val="|"/>
                              </m:dPr>
                              <m:e>
                                <m:sSub>
                                  <m:e>
                                    <m:r>
                                      <m:t>w</m:t>
                                    </m:r>
                                  </m:e>
                                  <m:sub>
                                    <m:r>
                                      <m:t>kj</m:t>
                                    </m:r>
                                  </m:sub>
                                </m:sSub>
                              </m:e>
                            </m:d>
                          </m:e>
                        </m:nary>
                      </m:e>
                    </m:d>
                  </m:e>
                </m:nary>
              </m:oMath>
            </m:oMathPara>
          </w:p>
        </w:tc>
        <w:tc>
          <w:tcPr>
            <w:tcW w:type="dxa" w:w="648"/>
            <w:vAlign w:val="center"/>
            <w:tcBorders>
              <w:top w:val="none"/>
              <w:left w:val="none"/>
              <w:bottom w:val="none"/>
              <w:right w:val="none"/>
            </w:tcBorders>
            <w:tcMar>
              <w:top w:w="20" w:type="dxa"/>
              <w:bottom w:w="20" w:type="dxa"/>
              <w:left w:w="20" w:type="dxa"/>
              <w:right w:w="20" w:type="dxa"/>
            </w:tcMar>
          </w:tcPr>
          <w:p>
            <w:pPr>
              <w:spacing w:before="40" w:after="40"/>
              <w:jc w:val="right"/>
            </w:pPr>
            <w:r>
              <w:rPr>
                <w:rFonts w:ascii="Times New Roman" w:hAnsi="Times New Roman"/>
                <w:color w:val="000000"/>
                <w:sz w:val="19"/>
              </w:rPr>
              <w:t>(13)</w:t>
            </w:r>
          </w:p>
        </w:tc>
      </w:tr>
    </w:tbl>
    <w:p>
      <w:pPr>
        <w:spacing w:after="40"/>
      </w:pPr>
    </w:p>
    <w:p>
      <w:pPr>
        <w:spacing w:after="80" w:line="252" w:lineRule="auto"/>
        <w:ind w:firstLine="259"/>
        <w:jc w:val="both"/>
      </w:pPr>
      <w:r>
        <w:rPr>
          <w:rFonts w:ascii="Times New Roman" w:hAnsi="Times New Roman"/>
          <w:color w:val="000000"/>
          <w:sz w:val="19"/>
        </w:rPr>
        <w:t>Performance evaluation relies on the True Skill Statistic (TSS) and Heidke Skill Score (HSS):</w:t>
      </w:r>
    </w:p>
    <w:tbl>
      <w:tblPr>
        <w:tblW w:type="auto" w:w="0"/>
        <w:jc w:val="center"/>
        <w:tblLook w:firstColumn="1" w:firstRow="1" w:lastColumn="0" w:lastRow="0" w:noHBand="0" w:noVBand="1" w:val="04A0"/>
      </w:tblPr>
      <w:tblGrid>
        <w:gridCol w:w="4896"/>
        <w:gridCol w:w="4896"/>
      </w:tblGrid>
      <w:tr>
        <w:tc>
          <w:tcPr>
            <w:tcW w:type="dxa" w:w="3960"/>
            <w:vAlign w:val="center"/>
            <w:tcBorders>
              <w:top w:val="none"/>
              <w:left w:val="none"/>
              <w:bottom w:val="none"/>
              <w:right w:val="none"/>
            </w:tcBorders>
            <w:tcMar>
              <w:top w:w="20" w:type="dxa"/>
              <w:bottom w:w="20" w:type="dxa"/>
              <w:left w:w="20" w:type="dxa"/>
              <w:right w:w="20" w:type="dxa"/>
            </w:tcMar>
          </w:tcPr>
          <w:p>
            <w:pPr>
              <w:spacing w:before="40" w:after="40"/>
              <w:jc w:val="center"/>
            </w:pPr>
            <m:oMathPara>
              <m:oMath>
                <m:r>
                  <m:t>TSS = TPR - FPR = </m:t>
                </m:r>
                <m:f>
                  <m:num>
                    <m:r>
                      <m:t>TP</m:t>
                    </m:r>
                  </m:num>
                  <m:den>
                    <m:r>
                      <m:t>TP + FN</m:t>
                    </m:r>
                  </m:den>
                </m:f>
                <m:r>
                  <m:t> - </m:t>
                </m:r>
                <m:f>
                  <m:num>
                    <m:r>
                      <m:t>FP</m:t>
                    </m:r>
                  </m:num>
                  <m:den>
                    <m:r>
                      <m:t>FP + TN</m:t>
                    </m:r>
                  </m:den>
                </m:f>
              </m:oMath>
            </m:oMathPara>
          </w:p>
        </w:tc>
        <w:tc>
          <w:tcPr>
            <w:tcW w:type="dxa" w:w="648"/>
            <w:vAlign w:val="center"/>
            <w:tcBorders>
              <w:top w:val="none"/>
              <w:left w:val="none"/>
              <w:bottom w:val="none"/>
              <w:right w:val="none"/>
            </w:tcBorders>
            <w:tcMar>
              <w:top w:w="20" w:type="dxa"/>
              <w:bottom w:w="20" w:type="dxa"/>
              <w:left w:w="20" w:type="dxa"/>
              <w:right w:w="20" w:type="dxa"/>
            </w:tcMar>
          </w:tcPr>
          <w:p>
            <w:pPr>
              <w:spacing w:before="40" w:after="40"/>
              <w:jc w:val="right"/>
            </w:pPr>
            <w:r>
              <w:rPr>
                <w:rFonts w:ascii="Times New Roman" w:hAnsi="Times New Roman"/>
                <w:color w:val="000000"/>
                <w:sz w:val="19"/>
              </w:rPr>
              <w:t>(14)</w:t>
            </w:r>
          </w:p>
        </w:tc>
      </w:tr>
    </w:tbl>
    <w:p>
      <w:pPr>
        <w:spacing w:after="40"/>
      </w:pPr>
    </w:p>
    <w:tbl>
      <w:tblPr>
        <w:tblW w:type="auto" w:w="0"/>
        <w:jc w:val="center"/>
        <w:tblLook w:firstColumn="1" w:firstRow="1" w:lastColumn="0" w:lastRow="0" w:noHBand="0" w:noVBand="1" w:val="04A0"/>
      </w:tblPr>
      <w:tblGrid>
        <w:gridCol w:w="4896"/>
        <w:gridCol w:w="4896"/>
      </w:tblGrid>
      <w:tr>
        <w:tc>
          <w:tcPr>
            <w:tcW w:type="dxa" w:w="3960"/>
            <w:vAlign w:val="center"/>
            <w:tcBorders>
              <w:top w:val="none"/>
              <w:left w:val="none"/>
              <w:bottom w:val="none"/>
              <w:right w:val="none"/>
            </w:tcBorders>
            <w:tcMar>
              <w:top w:w="20" w:type="dxa"/>
              <w:bottom w:w="20" w:type="dxa"/>
              <w:left w:w="20" w:type="dxa"/>
              <w:right w:w="20" w:type="dxa"/>
            </w:tcMar>
          </w:tcPr>
          <w:p>
            <w:pPr>
              <w:spacing w:before="40" w:after="40"/>
              <w:jc w:val="center"/>
            </w:pPr>
            <m:oMathPara>
              <m:oMath>
                <m:r>
                  <m:t>HSS = </m:t>
                </m:r>
                <m:f>
                  <m:num>
                    <m:r>
                      <m:t>2 ( TP · TN - FP · FN )</m:t>
                    </m:r>
                  </m:num>
                  <m:den>
                    <m:r>
                      <m:t>( TP + FN )( FN + TN ) + ( TP + FP )( FP + TN )</m:t>
                    </m:r>
                  </m:den>
                </m:f>
              </m:oMath>
            </m:oMathPara>
          </w:p>
        </w:tc>
        <w:tc>
          <w:tcPr>
            <w:tcW w:type="dxa" w:w="648"/>
            <w:vAlign w:val="center"/>
            <w:tcBorders>
              <w:top w:val="none"/>
              <w:left w:val="none"/>
              <w:bottom w:val="none"/>
              <w:right w:val="none"/>
            </w:tcBorders>
            <w:tcMar>
              <w:top w:w="20" w:type="dxa"/>
              <w:bottom w:w="20" w:type="dxa"/>
              <w:left w:w="20" w:type="dxa"/>
              <w:right w:w="20" w:type="dxa"/>
            </w:tcMar>
          </w:tcPr>
          <w:p>
            <w:pPr>
              <w:spacing w:before="40" w:after="40"/>
              <w:jc w:val="right"/>
            </w:pPr>
            <w:r>
              <w:rPr>
                <w:rFonts w:ascii="Times New Roman" w:hAnsi="Times New Roman"/>
                <w:color w:val="000000"/>
                <w:sz w:val="19"/>
              </w:rPr>
              <w:t>(15)</w:t>
            </w:r>
          </w:p>
        </w:tc>
      </w:tr>
    </w:tbl>
    <w:p>
      <w:pPr>
        <w:spacing w:after="40"/>
      </w:pPr>
    </w:p>
    <w:p>
      <w:pPr>
        <w:keepNext/>
        <w:spacing w:before="200" w:after="60"/>
        <w:jc w:val="left"/>
      </w:pPr>
      <w:r>
        <w:rPr>
          <w:rFonts w:ascii="Times New Roman" w:hAnsi="Times New Roman"/>
          <w:b/>
          <w:color w:val="000000"/>
          <w:sz w:val="21"/>
        </w:rPr>
        <w:t>IV. EXPERIMENTAL RESULTS</w:t>
      </w:r>
    </w:p>
    <w:p>
      <w:pPr>
        <w:keepNext/>
        <w:spacing w:before="140" w:after="60"/>
        <w:jc w:val="left"/>
      </w:pPr>
      <w:r>
        <w:rPr>
          <w:rFonts w:ascii="Times New Roman" w:hAnsi="Times New Roman"/>
          <w:b/>
          <w:i/>
          <w:color w:val="000000"/>
          <w:sz w:val="20"/>
        </w:rPr>
        <w:t>A. Published Benchmark Comparison</w:t>
      </w:r>
    </w:p>
    <w:p>
      <w:pPr>
        <w:spacing w:after="80" w:line="252" w:lineRule="auto"/>
        <w:ind w:firstLine="259"/>
        <w:jc w:val="both"/>
      </w:pPr>
      <w:r>
        <w:rPr>
          <w:rFonts w:ascii="Times New Roman" w:hAnsi="Times New Roman"/>
          <w:color w:val="000000"/>
          <w:sz w:val="19"/>
        </w:rPr>
        <w:t>Table I compares Solar Sentinel against the benchmark of Bringewald &amp; Parisot (MDPI Astronomy 2025) [1]. On balanced 10-fold CV, Solar Sentinel achieves F1 = 0.772 ± 0.019 and ROC AUC = 0.870 ± 0.015, outperforming the SDO/HMI SHARP baseline (F1 = 0.723, ROC AUC = 0.811). Furthermore, Solar Sentinel achieves a True Skill Statistic of TSS = 0.554 ± 0.035, matching state-of-the-art benchmarks in solar physics [5, 6].</w:t>
      </w:r>
    </w:p>
    <w:p>
      <w:pPr>
        <w:keepNext/>
        <w:spacing w:before="120" w:after="60"/>
        <w:jc w:val="center"/>
      </w:pPr>
      <w:r>
        <w:rPr>
          <w:rFonts w:ascii="Times New Roman" w:hAnsi="Times New Roman"/>
          <w:b/>
          <w:color w:val="000000"/>
          <w:sz w:val="17"/>
        </w:rPr>
        <w:t>TABLE I</w:t>
        <w:br/>
        <w:t>COMPREHENSIVE PERFORMANCE COMPARISON ACROSS EVALUATION PROTOCOLS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224"/>
        <w:gridCol w:w="1224"/>
        <w:gridCol w:w="1224"/>
        <w:gridCol w:w="1224"/>
        <w:gridCol w:w="1224"/>
        <w:gridCol w:w="1224"/>
        <w:gridCol w:w="1224"/>
        <w:gridCol w:w="1224"/>
      </w:tblGrid>
      <w:tr>
        <w:tc>
          <w:tcPr>
            <w:tcW w:type="dxa" w:w="1368"/>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Model / System</w:t>
            </w:r>
          </w:p>
        </w:tc>
        <w:tc>
          <w:tcPr>
            <w:tcW w:type="dxa" w:w="1080"/>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Scope</w:t>
            </w:r>
          </w:p>
        </w:tc>
        <w:tc>
          <w:tcPr>
            <w:tcW w:type="dxa" w:w="374"/>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F1</w:t>
            </w:r>
          </w:p>
        </w:tc>
        <w:tc>
          <w:tcPr>
            <w:tcW w:type="dxa" w:w="374"/>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ROC</w:t>
            </w:r>
          </w:p>
        </w:tc>
        <w:tc>
          <w:tcPr>
            <w:tcW w:type="dxa" w:w="374"/>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PR</w:t>
            </w:r>
          </w:p>
        </w:tc>
        <w:tc>
          <w:tcPr>
            <w:tcW w:type="dxa" w:w="374"/>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TSS</w:t>
            </w:r>
          </w:p>
        </w:tc>
        <w:tc>
          <w:tcPr>
            <w:tcW w:type="dxa" w:w="374"/>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HSS</w:t>
            </w:r>
          </w:p>
        </w:tc>
        <w:tc>
          <w:tcPr>
            <w:tcW w:type="dxa" w:w="374"/>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Acc</w:t>
            </w:r>
          </w:p>
        </w:tc>
      </w:tr>
      <w:tr>
        <w:tc>
          <w:tcPr>
            <w:tcW w:type="dxa" w:w="1368"/>
            <w:tcMar>
              <w:top w:w="35" w:type="dxa"/>
              <w:bottom w:w="35" w:type="dxa"/>
              <w:left w:w="40" w:type="dxa"/>
              <w:right w:w="40" w:type="dxa"/>
            </w:tcMar>
          </w:tcPr>
          <w:p>
            <w:pPr>
              <w:jc w:val="left"/>
            </w:pPr>
            <w:r>
              <w:rPr>
                <w:rFonts w:ascii="Times New Roman" w:hAnsi="Times New Roman"/>
                <w:color w:val="000000"/>
                <w:sz w:val="15"/>
              </w:rPr>
              <w:t>Bringewald (2025) [1]</w:t>
            </w:r>
          </w:p>
        </w:tc>
        <w:tc>
          <w:tcPr>
            <w:tcW w:type="dxa" w:w="1080"/>
            <w:tcMar>
              <w:top w:w="35" w:type="dxa"/>
              <w:bottom w:w="35" w:type="dxa"/>
              <w:left w:w="40" w:type="dxa"/>
              <w:right w:w="40" w:type="dxa"/>
            </w:tcMar>
          </w:tcPr>
          <w:p>
            <w:pPr>
              <w:jc w:val="left"/>
            </w:pPr>
            <w:r>
              <w:rPr>
                <w:rFonts w:ascii="Times New Roman" w:hAnsi="Times New Roman"/>
                <w:color w:val="000000"/>
                <w:sz w:val="15"/>
              </w:rPr>
              <w:t>10-Fold CV (HMI)</w:t>
            </w:r>
          </w:p>
        </w:tc>
        <w:tc>
          <w:tcPr>
            <w:tcW w:type="dxa" w:w="374"/>
            <w:tcMar>
              <w:top w:w="35" w:type="dxa"/>
              <w:bottom w:w="35" w:type="dxa"/>
              <w:left w:w="40" w:type="dxa"/>
              <w:right w:w="40" w:type="dxa"/>
            </w:tcMar>
          </w:tcPr>
          <w:p>
            <w:pPr>
              <w:jc w:val="center"/>
            </w:pPr>
            <w:r>
              <w:rPr>
                <w:rFonts w:ascii="Times New Roman" w:hAnsi="Times New Roman"/>
                <w:color w:val="000000"/>
                <w:sz w:val="15"/>
              </w:rPr>
              <w:t>0.723</w:t>
            </w:r>
          </w:p>
        </w:tc>
        <w:tc>
          <w:tcPr>
            <w:tcW w:type="dxa" w:w="374"/>
            <w:tcMar>
              <w:top w:w="35" w:type="dxa"/>
              <w:bottom w:w="35" w:type="dxa"/>
              <w:left w:w="40" w:type="dxa"/>
              <w:right w:w="40" w:type="dxa"/>
            </w:tcMar>
          </w:tcPr>
          <w:p>
            <w:pPr>
              <w:jc w:val="center"/>
            </w:pPr>
            <w:r>
              <w:rPr>
                <w:rFonts w:ascii="Times New Roman" w:hAnsi="Times New Roman"/>
                <w:color w:val="000000"/>
                <w:sz w:val="15"/>
              </w:rPr>
              <w:t>0.811</w:t>
            </w:r>
          </w:p>
        </w:tc>
        <w:tc>
          <w:tcPr>
            <w:tcW w:type="dxa" w:w="374"/>
            <w:tcMar>
              <w:top w:w="35" w:type="dxa"/>
              <w:bottom w:w="35" w:type="dxa"/>
              <w:left w:w="40" w:type="dxa"/>
              <w:right w:w="40" w:type="dxa"/>
            </w:tcMar>
          </w:tcPr>
          <w:p>
            <w:pPr>
              <w:jc w:val="center"/>
            </w:pPr>
            <w:r>
              <w:rPr>
                <w:rFonts w:ascii="Times New Roman" w:hAnsi="Times New Roman"/>
                <w:color w:val="000000"/>
                <w:sz w:val="15"/>
              </w:rPr>
              <w:t>0.834</w:t>
            </w:r>
          </w:p>
        </w:tc>
        <w:tc>
          <w:tcPr>
            <w:tcW w:type="dxa" w:w="374"/>
            <w:tcMar>
              <w:top w:w="35" w:type="dxa"/>
              <w:bottom w:w="35" w:type="dxa"/>
              <w:left w:w="40" w:type="dxa"/>
              <w:right w:w="40" w:type="dxa"/>
            </w:tcMar>
          </w:tcPr>
          <w:p>
            <w:pPr>
              <w:jc w:val="center"/>
            </w:pPr>
            <w:r>
              <w:rPr>
                <w:rFonts w:ascii="Times New Roman" w:hAnsi="Times New Roman"/>
                <w:color w:val="000000"/>
                <w:sz w:val="15"/>
              </w:rPr>
              <w:t>—</w:t>
            </w:r>
          </w:p>
        </w:tc>
        <w:tc>
          <w:tcPr>
            <w:tcW w:type="dxa" w:w="374"/>
            <w:tcMar>
              <w:top w:w="35" w:type="dxa"/>
              <w:bottom w:w="35" w:type="dxa"/>
              <w:left w:w="40" w:type="dxa"/>
              <w:right w:w="40" w:type="dxa"/>
            </w:tcMar>
          </w:tcPr>
          <w:p>
            <w:pPr>
              <w:jc w:val="center"/>
            </w:pPr>
            <w:r>
              <w:rPr>
                <w:rFonts w:ascii="Times New Roman" w:hAnsi="Times New Roman"/>
                <w:color w:val="000000"/>
                <w:sz w:val="15"/>
              </w:rPr>
              <w:t>—</w:t>
            </w:r>
          </w:p>
        </w:tc>
        <w:tc>
          <w:tcPr>
            <w:tcW w:type="dxa" w:w="374"/>
            <w:tcMar>
              <w:top w:w="35" w:type="dxa"/>
              <w:bottom w:w="35" w:type="dxa"/>
              <w:left w:w="40" w:type="dxa"/>
              <w:right w:w="40" w:type="dxa"/>
            </w:tcMar>
          </w:tcPr>
          <w:p>
            <w:pPr>
              <w:jc w:val="center"/>
            </w:pPr>
            <w:r>
              <w:rPr>
                <w:rFonts w:ascii="Times New Roman" w:hAnsi="Times New Roman"/>
                <w:color w:val="000000"/>
                <w:sz w:val="15"/>
              </w:rPr>
              <w:t>0.733</w:t>
            </w:r>
          </w:p>
        </w:tc>
      </w:tr>
      <w:tr>
        <w:tc>
          <w:tcPr>
            <w:tcW w:type="dxa" w:w="1368"/>
            <w:tcMar>
              <w:top w:w="35" w:type="dxa"/>
              <w:bottom w:w="35" w:type="dxa"/>
              <w:left w:w="40" w:type="dxa"/>
              <w:right w:w="40" w:type="dxa"/>
            </w:tcMar>
          </w:tcPr>
          <w:p>
            <w:pPr>
              <w:jc w:val="left"/>
            </w:pPr>
            <w:r>
              <w:rPr>
                <w:rFonts w:ascii="Times New Roman" w:hAnsi="Times New Roman"/>
                <w:b/>
                <w:color w:val="000000"/>
                <w:sz w:val="15"/>
              </w:rPr>
              <w:t>Solar Sentinel</w:t>
            </w:r>
          </w:p>
        </w:tc>
        <w:tc>
          <w:tcPr>
            <w:tcW w:type="dxa" w:w="1080"/>
            <w:tcMar>
              <w:top w:w="35" w:type="dxa"/>
              <w:bottom w:w="35" w:type="dxa"/>
              <w:left w:w="40" w:type="dxa"/>
              <w:right w:w="40" w:type="dxa"/>
            </w:tcMar>
          </w:tcPr>
          <w:p>
            <w:pPr>
              <w:jc w:val="left"/>
            </w:pPr>
            <w:r>
              <w:rPr>
                <w:rFonts w:ascii="Times New Roman" w:hAnsi="Times New Roman"/>
                <w:color w:val="000000"/>
                <w:sz w:val="15"/>
              </w:rPr>
              <w:t>10-Fold CV (Bal)</w:t>
            </w:r>
          </w:p>
        </w:tc>
        <w:tc>
          <w:tcPr>
            <w:tcW w:type="dxa" w:w="374"/>
            <w:tcMar>
              <w:top w:w="35" w:type="dxa"/>
              <w:bottom w:w="35" w:type="dxa"/>
              <w:left w:w="40" w:type="dxa"/>
              <w:right w:w="40" w:type="dxa"/>
            </w:tcMar>
          </w:tcPr>
          <w:p>
            <w:pPr>
              <w:jc w:val="center"/>
            </w:pPr>
            <w:r>
              <w:rPr>
                <w:rFonts w:ascii="Times New Roman" w:hAnsi="Times New Roman"/>
                <w:b/>
                <w:color w:val="000000"/>
                <w:sz w:val="15"/>
              </w:rPr>
              <w:t>0.772</w:t>
            </w:r>
          </w:p>
        </w:tc>
        <w:tc>
          <w:tcPr>
            <w:tcW w:type="dxa" w:w="374"/>
            <w:tcMar>
              <w:top w:w="35" w:type="dxa"/>
              <w:bottom w:w="35" w:type="dxa"/>
              <w:left w:w="40" w:type="dxa"/>
              <w:right w:w="40" w:type="dxa"/>
            </w:tcMar>
          </w:tcPr>
          <w:p>
            <w:pPr>
              <w:jc w:val="center"/>
            </w:pPr>
            <w:r>
              <w:rPr>
                <w:rFonts w:ascii="Times New Roman" w:hAnsi="Times New Roman"/>
                <w:color w:val="000000"/>
                <w:sz w:val="15"/>
              </w:rPr>
              <w:t>0.870</w:t>
            </w:r>
          </w:p>
        </w:tc>
        <w:tc>
          <w:tcPr>
            <w:tcW w:type="dxa" w:w="374"/>
            <w:tcMar>
              <w:top w:w="35" w:type="dxa"/>
              <w:bottom w:w="35" w:type="dxa"/>
              <w:left w:w="40" w:type="dxa"/>
              <w:right w:w="40" w:type="dxa"/>
            </w:tcMar>
          </w:tcPr>
          <w:p>
            <w:pPr>
              <w:jc w:val="center"/>
            </w:pPr>
            <w:r>
              <w:rPr>
                <w:rFonts w:ascii="Times New Roman" w:hAnsi="Times New Roman"/>
                <w:color w:val="000000"/>
                <w:sz w:val="15"/>
              </w:rPr>
              <w:t>0.875</w:t>
            </w:r>
          </w:p>
        </w:tc>
        <w:tc>
          <w:tcPr>
            <w:tcW w:type="dxa" w:w="374"/>
            <w:tcMar>
              <w:top w:w="35" w:type="dxa"/>
              <w:bottom w:w="35" w:type="dxa"/>
              <w:left w:w="40" w:type="dxa"/>
              <w:right w:w="40" w:type="dxa"/>
            </w:tcMar>
          </w:tcPr>
          <w:p>
            <w:pPr>
              <w:jc w:val="center"/>
            </w:pPr>
            <w:r>
              <w:rPr>
                <w:rFonts w:ascii="Times New Roman" w:hAnsi="Times New Roman"/>
                <w:color w:val="000000"/>
                <w:sz w:val="15"/>
              </w:rPr>
              <w:t>0.554</w:t>
            </w:r>
          </w:p>
        </w:tc>
        <w:tc>
          <w:tcPr>
            <w:tcW w:type="dxa" w:w="374"/>
            <w:tcMar>
              <w:top w:w="35" w:type="dxa"/>
              <w:bottom w:w="35" w:type="dxa"/>
              <w:left w:w="40" w:type="dxa"/>
              <w:right w:w="40" w:type="dxa"/>
            </w:tcMar>
          </w:tcPr>
          <w:p>
            <w:pPr>
              <w:jc w:val="center"/>
            </w:pPr>
            <w:r>
              <w:rPr>
                <w:rFonts w:ascii="Times New Roman" w:hAnsi="Times New Roman"/>
                <w:color w:val="000000"/>
                <w:sz w:val="15"/>
              </w:rPr>
              <w:t>0.554</w:t>
            </w:r>
          </w:p>
        </w:tc>
        <w:tc>
          <w:tcPr>
            <w:tcW w:type="dxa" w:w="374"/>
            <w:tcMar>
              <w:top w:w="35" w:type="dxa"/>
              <w:bottom w:w="35" w:type="dxa"/>
              <w:left w:w="40" w:type="dxa"/>
              <w:right w:w="40" w:type="dxa"/>
            </w:tcMar>
          </w:tcPr>
          <w:p>
            <w:pPr>
              <w:jc w:val="center"/>
            </w:pPr>
            <w:r>
              <w:rPr>
                <w:rFonts w:ascii="Times New Roman" w:hAnsi="Times New Roman"/>
                <w:color w:val="000000"/>
                <w:sz w:val="15"/>
              </w:rPr>
              <w:t>0.777</w:t>
            </w:r>
          </w:p>
        </w:tc>
      </w:tr>
      <w:tr>
        <w:tc>
          <w:tcPr>
            <w:tcW w:type="dxa" w:w="1368"/>
            <w:tcMar>
              <w:top w:w="35" w:type="dxa"/>
              <w:bottom w:w="35" w:type="dxa"/>
              <w:left w:w="40" w:type="dxa"/>
              <w:right w:w="40" w:type="dxa"/>
            </w:tcMar>
          </w:tcPr>
          <w:p>
            <w:pPr>
              <w:jc w:val="left"/>
            </w:pPr>
            <w:r>
              <w:rPr>
                <w:rFonts w:ascii="Times New Roman" w:hAnsi="Times New Roman"/>
                <w:b/>
                <w:color w:val="000000"/>
                <w:sz w:val="15"/>
              </w:rPr>
              <w:t>Solar Sentinel</w:t>
            </w:r>
          </w:p>
        </w:tc>
        <w:tc>
          <w:tcPr>
            <w:tcW w:type="dxa" w:w="1080"/>
            <w:tcMar>
              <w:top w:w="35" w:type="dxa"/>
              <w:bottom w:w="35" w:type="dxa"/>
              <w:left w:w="40" w:type="dxa"/>
              <w:right w:w="40" w:type="dxa"/>
            </w:tcMar>
          </w:tcPr>
          <w:p>
            <w:pPr>
              <w:jc w:val="center"/>
            </w:pPr>
            <w:r>
              <w:rPr>
                <w:rFonts w:ascii="Times New Roman" w:hAnsi="Times New Roman"/>
                <w:color w:val="000000"/>
                <w:sz w:val="15"/>
              </w:rPr>
              <w:t>M/X-Class CV</w:t>
            </w:r>
          </w:p>
        </w:tc>
        <w:tc>
          <w:tcPr>
            <w:tcW w:type="dxa" w:w="374"/>
            <w:tcMar>
              <w:top w:w="35" w:type="dxa"/>
              <w:bottom w:w="35" w:type="dxa"/>
              <w:left w:w="40" w:type="dxa"/>
              <w:right w:w="40" w:type="dxa"/>
            </w:tcMar>
          </w:tcPr>
          <w:p>
            <w:pPr>
              <w:jc w:val="center"/>
            </w:pPr>
            <w:r>
              <w:rPr>
                <w:rFonts w:ascii="Times New Roman" w:hAnsi="Times New Roman"/>
                <w:color w:val="000000"/>
                <w:sz w:val="15"/>
              </w:rPr>
              <w:t>0.715</w:t>
            </w:r>
          </w:p>
        </w:tc>
        <w:tc>
          <w:tcPr>
            <w:tcW w:type="dxa" w:w="374"/>
            <w:tcMar>
              <w:top w:w="35" w:type="dxa"/>
              <w:bottom w:w="35" w:type="dxa"/>
              <w:left w:w="40" w:type="dxa"/>
              <w:right w:w="40" w:type="dxa"/>
            </w:tcMar>
          </w:tcPr>
          <w:p>
            <w:pPr>
              <w:jc w:val="center"/>
            </w:pPr>
            <w:r>
              <w:rPr>
                <w:rFonts w:ascii="Times New Roman" w:hAnsi="Times New Roman"/>
                <w:color w:val="000000"/>
                <w:sz w:val="15"/>
              </w:rPr>
              <w:t>0.816</w:t>
            </w:r>
          </w:p>
        </w:tc>
        <w:tc>
          <w:tcPr>
            <w:tcW w:type="dxa" w:w="374"/>
            <w:tcMar>
              <w:top w:w="35" w:type="dxa"/>
              <w:bottom w:w="35" w:type="dxa"/>
              <w:left w:w="40" w:type="dxa"/>
              <w:right w:w="40" w:type="dxa"/>
            </w:tcMar>
          </w:tcPr>
          <w:p>
            <w:pPr>
              <w:jc w:val="center"/>
            </w:pPr>
            <w:r>
              <w:rPr>
                <w:rFonts w:ascii="Times New Roman" w:hAnsi="Times New Roman"/>
                <w:color w:val="000000"/>
                <w:sz w:val="15"/>
              </w:rPr>
              <w:t>—</w:t>
            </w:r>
          </w:p>
        </w:tc>
        <w:tc>
          <w:tcPr>
            <w:tcW w:type="dxa" w:w="374"/>
            <w:tcMar>
              <w:top w:w="35" w:type="dxa"/>
              <w:bottom w:w="35" w:type="dxa"/>
              <w:left w:w="40" w:type="dxa"/>
              <w:right w:w="40" w:type="dxa"/>
            </w:tcMar>
          </w:tcPr>
          <w:p>
            <w:pPr>
              <w:jc w:val="center"/>
            </w:pPr>
            <w:r>
              <w:rPr>
                <w:rFonts w:ascii="Times New Roman" w:hAnsi="Times New Roman"/>
                <w:color w:val="000000"/>
                <w:sz w:val="15"/>
              </w:rPr>
              <w:t>—</w:t>
            </w:r>
          </w:p>
        </w:tc>
        <w:tc>
          <w:tcPr>
            <w:tcW w:type="dxa" w:w="374"/>
            <w:tcMar>
              <w:top w:w="35" w:type="dxa"/>
              <w:bottom w:w="35" w:type="dxa"/>
              <w:left w:w="40" w:type="dxa"/>
              <w:right w:w="40" w:type="dxa"/>
            </w:tcMar>
          </w:tcPr>
          <w:p>
            <w:pPr>
              <w:jc w:val="center"/>
            </w:pPr>
            <w:r>
              <w:rPr>
                <w:rFonts w:ascii="Times New Roman" w:hAnsi="Times New Roman"/>
                <w:color w:val="000000"/>
                <w:sz w:val="15"/>
              </w:rPr>
              <w:t>—</w:t>
            </w:r>
          </w:p>
        </w:tc>
        <w:tc>
          <w:tcPr>
            <w:tcW w:type="dxa" w:w="374"/>
            <w:tcMar>
              <w:top w:w="35" w:type="dxa"/>
              <w:bottom w:w="35" w:type="dxa"/>
              <w:left w:w="40" w:type="dxa"/>
              <w:right w:w="40" w:type="dxa"/>
            </w:tcMar>
          </w:tcPr>
          <w:p>
            <w:pPr>
              <w:jc w:val="center"/>
            </w:pPr>
            <w:r>
              <w:rPr>
                <w:rFonts w:ascii="Times New Roman" w:hAnsi="Times New Roman"/>
                <w:color w:val="000000"/>
                <w:sz w:val="15"/>
              </w:rPr>
              <w:t>0.733</w:t>
            </w:r>
          </w:p>
        </w:tc>
      </w:tr>
      <w:tr>
        <w:tc>
          <w:tcPr>
            <w:tcW w:type="dxa" w:w="1368"/>
            <w:tcMar>
              <w:top w:w="35" w:type="dxa"/>
              <w:bottom w:w="35" w:type="dxa"/>
              <w:left w:w="40" w:type="dxa"/>
              <w:right w:w="40" w:type="dxa"/>
            </w:tcMar>
          </w:tcPr>
          <w:p>
            <w:pPr>
              <w:jc w:val="left"/>
            </w:pPr>
            <w:r>
              <w:rPr>
                <w:rFonts w:ascii="Times New Roman" w:hAnsi="Times New Roman"/>
                <w:b/>
                <w:color w:val="000000"/>
                <w:sz w:val="15"/>
              </w:rPr>
              <w:t>Solar Sentinel</w:t>
            </w:r>
          </w:p>
        </w:tc>
        <w:tc>
          <w:tcPr>
            <w:tcW w:type="dxa" w:w="1080"/>
            <w:tcMar>
              <w:top w:w="35" w:type="dxa"/>
              <w:bottom w:w="35" w:type="dxa"/>
              <w:left w:w="40" w:type="dxa"/>
              <w:right w:w="40" w:type="dxa"/>
            </w:tcMar>
          </w:tcPr>
          <w:p>
            <w:pPr>
              <w:jc w:val="left"/>
            </w:pPr>
            <w:r>
              <w:rPr>
                <w:rFonts w:ascii="Times New Roman" w:hAnsi="Times New Roman"/>
                <w:color w:val="000000"/>
                <w:sz w:val="15"/>
              </w:rPr>
              <w:t>SDBP (30% Unseen)</w:t>
            </w:r>
          </w:p>
        </w:tc>
        <w:tc>
          <w:tcPr>
            <w:tcW w:type="dxa" w:w="374"/>
            <w:tcMar>
              <w:top w:w="35" w:type="dxa"/>
              <w:bottom w:w="35" w:type="dxa"/>
              <w:left w:w="40" w:type="dxa"/>
              <w:right w:w="40" w:type="dxa"/>
            </w:tcMar>
          </w:tcPr>
          <w:p>
            <w:pPr>
              <w:jc w:val="center"/>
            </w:pPr>
            <w:r>
              <w:rPr>
                <w:rFonts w:ascii="Times New Roman" w:hAnsi="Times New Roman"/>
                <w:color w:val="000000"/>
                <w:sz w:val="15"/>
              </w:rPr>
              <w:t>0.292</w:t>
            </w:r>
          </w:p>
        </w:tc>
        <w:tc>
          <w:tcPr>
            <w:tcW w:type="dxa" w:w="374"/>
            <w:tcMar>
              <w:top w:w="35" w:type="dxa"/>
              <w:bottom w:w="35" w:type="dxa"/>
              <w:left w:w="40" w:type="dxa"/>
              <w:right w:w="40" w:type="dxa"/>
            </w:tcMar>
          </w:tcPr>
          <w:p>
            <w:pPr>
              <w:jc w:val="center"/>
            </w:pPr>
            <w:r>
              <w:rPr>
                <w:rFonts w:ascii="Times New Roman" w:hAnsi="Times New Roman"/>
                <w:color w:val="000000"/>
                <w:sz w:val="15"/>
              </w:rPr>
              <w:t>0.783</w:t>
            </w:r>
          </w:p>
        </w:tc>
        <w:tc>
          <w:tcPr>
            <w:tcW w:type="dxa" w:w="374"/>
            <w:tcMar>
              <w:top w:w="35" w:type="dxa"/>
              <w:bottom w:w="35" w:type="dxa"/>
              <w:left w:w="40" w:type="dxa"/>
              <w:right w:w="40" w:type="dxa"/>
            </w:tcMar>
          </w:tcPr>
          <w:p>
            <w:pPr>
              <w:jc w:val="center"/>
            </w:pPr>
            <w:r>
              <w:rPr>
                <w:rFonts w:ascii="Times New Roman" w:hAnsi="Times New Roman"/>
                <w:color w:val="000000"/>
                <w:sz w:val="15"/>
              </w:rPr>
              <w:t>0.272</w:t>
            </w:r>
          </w:p>
        </w:tc>
        <w:tc>
          <w:tcPr>
            <w:tcW w:type="dxa" w:w="374"/>
            <w:tcMar>
              <w:top w:w="35" w:type="dxa"/>
              <w:bottom w:w="35" w:type="dxa"/>
              <w:left w:w="40" w:type="dxa"/>
              <w:right w:w="40" w:type="dxa"/>
            </w:tcMar>
          </w:tcPr>
          <w:p>
            <w:pPr>
              <w:jc w:val="center"/>
            </w:pPr>
            <w:r>
              <w:rPr>
                <w:rFonts w:ascii="Times New Roman" w:hAnsi="Times New Roman"/>
                <w:b/>
                <w:color w:val="000000"/>
                <w:sz w:val="15"/>
              </w:rPr>
              <w:t>0.318</w:t>
            </w:r>
          </w:p>
        </w:tc>
        <w:tc>
          <w:tcPr>
            <w:tcW w:type="dxa" w:w="374"/>
            <w:tcMar>
              <w:top w:w="35" w:type="dxa"/>
              <w:bottom w:w="35" w:type="dxa"/>
              <w:left w:w="40" w:type="dxa"/>
              <w:right w:w="40" w:type="dxa"/>
            </w:tcMar>
          </w:tcPr>
          <w:p>
            <w:pPr>
              <w:jc w:val="center"/>
            </w:pPr>
            <w:r>
              <w:rPr>
                <w:rFonts w:ascii="Times New Roman" w:hAnsi="Times New Roman"/>
                <w:color w:val="000000"/>
                <w:sz w:val="15"/>
              </w:rPr>
              <w:t>0.255</w:t>
            </w:r>
          </w:p>
        </w:tc>
        <w:tc>
          <w:tcPr>
            <w:tcW w:type="dxa" w:w="374"/>
            <w:tcMar>
              <w:top w:w="35" w:type="dxa"/>
              <w:bottom w:w="35" w:type="dxa"/>
              <w:left w:w="40" w:type="dxa"/>
              <w:right w:w="40" w:type="dxa"/>
            </w:tcMar>
          </w:tcPr>
          <w:p>
            <w:pPr>
              <w:jc w:val="center"/>
            </w:pPr>
            <w:r>
              <w:rPr>
                <w:rFonts w:ascii="Times New Roman" w:hAnsi="Times New Roman"/>
                <w:color w:val="000000"/>
                <w:sz w:val="15"/>
              </w:rPr>
              <w:t>0.926</w:t>
            </w:r>
          </w:p>
        </w:tc>
      </w:tr>
      <w:tr>
        <w:tc>
          <w:tcPr>
            <w:tcW w:type="dxa" w:w="1368"/>
            <w:tcMar>
              <w:top w:w="35" w:type="dxa"/>
              <w:bottom w:w="35" w:type="dxa"/>
              <w:left w:w="40" w:type="dxa"/>
              <w:right w:w="40" w:type="dxa"/>
            </w:tcMar>
          </w:tcPr>
          <w:p>
            <w:pPr>
              <w:jc w:val="left"/>
            </w:pPr>
            <w:r>
              <w:rPr>
                <w:rFonts w:ascii="Times New Roman" w:hAnsi="Times New Roman"/>
                <w:b/>
                <w:color w:val="000000"/>
                <w:sz w:val="15"/>
              </w:rPr>
              <w:t>Solar Sentinel</w:t>
            </w:r>
          </w:p>
        </w:tc>
        <w:tc>
          <w:tcPr>
            <w:tcW w:type="dxa" w:w="1080"/>
            <w:tcMar>
              <w:top w:w="35" w:type="dxa"/>
              <w:bottom w:w="35" w:type="dxa"/>
              <w:left w:w="40" w:type="dxa"/>
              <w:right w:w="40" w:type="dxa"/>
            </w:tcMar>
          </w:tcPr>
          <w:p>
            <w:pPr>
              <w:jc w:val="left"/>
            </w:pPr>
            <w:r>
              <w:rPr>
                <w:rFonts w:ascii="Times New Roman" w:hAnsi="Times New Roman"/>
                <w:b/>
                <w:color w:val="000000"/>
                <w:sz w:val="15"/>
              </w:rPr>
              <w:t>Full-Mission Test</w:t>
            </w:r>
          </w:p>
        </w:tc>
        <w:tc>
          <w:tcPr>
            <w:tcW w:type="dxa" w:w="374"/>
            <w:tcMar>
              <w:top w:w="35" w:type="dxa"/>
              <w:bottom w:w="35" w:type="dxa"/>
              <w:left w:w="40" w:type="dxa"/>
              <w:right w:w="40" w:type="dxa"/>
            </w:tcMar>
          </w:tcPr>
          <w:p>
            <w:pPr>
              <w:jc w:val="center"/>
            </w:pPr>
            <w:r>
              <w:rPr>
                <w:rFonts w:ascii="Times New Roman" w:hAnsi="Times New Roman"/>
                <w:color w:val="000000"/>
                <w:sz w:val="15"/>
              </w:rPr>
              <w:t>0.479</w:t>
            </w:r>
          </w:p>
        </w:tc>
        <w:tc>
          <w:tcPr>
            <w:tcW w:type="dxa" w:w="374"/>
            <w:tcMar>
              <w:top w:w="35" w:type="dxa"/>
              <w:bottom w:w="35" w:type="dxa"/>
              <w:left w:w="40" w:type="dxa"/>
              <w:right w:w="40" w:type="dxa"/>
            </w:tcMar>
          </w:tcPr>
          <w:p>
            <w:pPr>
              <w:jc w:val="center"/>
            </w:pPr>
            <w:r>
              <w:rPr>
                <w:rFonts w:ascii="Times New Roman" w:hAnsi="Times New Roman"/>
                <w:color w:val="000000"/>
                <w:sz w:val="15"/>
              </w:rPr>
              <w:t>0.893</w:t>
            </w:r>
          </w:p>
        </w:tc>
        <w:tc>
          <w:tcPr>
            <w:tcW w:type="dxa" w:w="374"/>
            <w:tcMar>
              <w:top w:w="35" w:type="dxa"/>
              <w:bottom w:w="35" w:type="dxa"/>
              <w:left w:w="40" w:type="dxa"/>
              <w:right w:w="40" w:type="dxa"/>
            </w:tcMar>
          </w:tcPr>
          <w:p>
            <w:pPr>
              <w:jc w:val="center"/>
            </w:pPr>
            <w:r>
              <w:rPr>
                <w:rFonts w:ascii="Times New Roman" w:hAnsi="Times New Roman"/>
                <w:color w:val="000000"/>
                <w:sz w:val="15"/>
              </w:rPr>
              <w:t>0.471</w:t>
            </w:r>
          </w:p>
        </w:tc>
        <w:tc>
          <w:tcPr>
            <w:tcW w:type="dxa" w:w="374"/>
            <w:tcMar>
              <w:top w:w="35" w:type="dxa"/>
              <w:bottom w:w="35" w:type="dxa"/>
              <w:left w:w="40" w:type="dxa"/>
              <w:right w:w="40" w:type="dxa"/>
            </w:tcMar>
          </w:tcPr>
          <w:p>
            <w:pPr>
              <w:jc w:val="center"/>
            </w:pPr>
            <w:r>
              <w:rPr>
                <w:rFonts w:ascii="Times New Roman" w:hAnsi="Times New Roman"/>
                <w:color w:val="000000"/>
                <w:sz w:val="15"/>
              </w:rPr>
              <w:t>0.439</w:t>
            </w:r>
          </w:p>
        </w:tc>
        <w:tc>
          <w:tcPr>
            <w:tcW w:type="dxa" w:w="374"/>
            <w:tcMar>
              <w:top w:w="35" w:type="dxa"/>
              <w:bottom w:w="35" w:type="dxa"/>
              <w:left w:w="40" w:type="dxa"/>
              <w:right w:w="40" w:type="dxa"/>
            </w:tcMar>
          </w:tcPr>
          <w:p>
            <w:pPr>
              <w:jc w:val="center"/>
            </w:pPr>
            <w:r>
              <w:rPr>
                <w:rFonts w:ascii="Times New Roman" w:hAnsi="Times New Roman"/>
                <w:color w:val="000000"/>
                <w:sz w:val="15"/>
              </w:rPr>
              <w:t>0.457</w:t>
            </w:r>
          </w:p>
        </w:tc>
        <w:tc>
          <w:tcPr>
            <w:tcW w:type="dxa" w:w="374"/>
            <w:tcMar>
              <w:top w:w="35" w:type="dxa"/>
              <w:bottom w:w="35" w:type="dxa"/>
              <w:left w:w="40" w:type="dxa"/>
              <w:right w:w="40" w:type="dxa"/>
            </w:tcMar>
          </w:tcPr>
          <w:p>
            <w:pPr>
              <w:jc w:val="center"/>
            </w:pPr>
            <w:r>
              <w:rPr>
                <w:rFonts w:ascii="Times New Roman" w:hAnsi="Times New Roman"/>
                <w:color w:val="000000"/>
                <w:sz w:val="15"/>
              </w:rPr>
              <w:t>0.957</w:t>
            </w:r>
          </w:p>
        </w:tc>
      </w:tr>
    </w:tbl>
    <w:p>
      <w:pPr>
        <w:spacing w:after="120"/>
      </w:pPr>
    </w:p>
    <w:p>
      <w:pPr>
        <w:spacing w:before="120" w:after="40"/>
        <w:jc w:val="center"/>
      </w:pPr>
      <w:r>
        <w:drawing>
          <wp:inline xmlns:a="http://schemas.openxmlformats.org/drawingml/2006/main" xmlns:pic="http://schemas.openxmlformats.org/drawingml/2006/picture">
            <wp:extent cx="2880360" cy="1575300"/>
            <wp:docPr id="1" name="Picture 1"/>
            <wp:cNvGraphicFramePr>
              <a:graphicFrameLocks noChangeAspect="1"/>
            </wp:cNvGraphicFramePr>
            <a:graphic>
              <a:graphicData uri="http://schemas.openxmlformats.org/drawingml/2006/picture">
                <pic:pic>
                  <pic:nvPicPr>
                    <pic:cNvPr id="0" name="fig1_performance_comparison.png"/>
                    <pic:cNvPicPr/>
                  </pic:nvPicPr>
                  <pic:blipFill>
                    <a:blip r:embed="rId9"/>
                    <a:stretch>
                      <a:fillRect/>
                    </a:stretch>
                  </pic:blipFill>
                  <pic:spPr>
                    <a:xfrm>
                      <a:off x="0" y="0"/>
                      <a:ext cx="2880360" cy="1575300"/>
                    </a:xfrm>
                    <a:prstGeom prst="rect"/>
                  </pic:spPr>
                </pic:pic>
              </a:graphicData>
            </a:graphic>
          </wp:inline>
        </w:drawing>
      </w:r>
    </w:p>
    <w:p>
      <w:pPr>
        <w:spacing w:after="160" w:line="252" w:lineRule="auto"/>
        <w:jc w:val="both"/>
      </w:pPr>
      <w:r>
        <w:rPr>
          <w:rFonts w:ascii="Times New Roman" w:hAnsi="Times New Roman"/>
          <w:color w:val="222222"/>
          <w:sz w:val="17"/>
        </w:rPr>
        <w:t>Fig. 1. Benchmark performance comparison between Bringewald &amp; Parisot (2025) and Solar Sentinel across 10-fold CV and SDBP Holdout test sets.</w:t>
      </w:r>
    </w:p>
    <w:p>
      <w:pPr>
        <w:keepNext/>
        <w:spacing w:before="140" w:after="60"/>
        <w:jc w:val="left"/>
      </w:pPr>
      <w:r>
        <w:rPr>
          <w:rFonts w:ascii="Times New Roman" w:hAnsi="Times New Roman"/>
          <w:b/>
          <w:i/>
          <w:color w:val="000000"/>
          <w:sz w:val="20"/>
        </w:rPr>
        <w:t>B. Competitive Baselines &amp; Sensor Ablations</w:t>
      </w:r>
    </w:p>
    <w:p>
      <w:pPr>
        <w:spacing w:after="80" w:line="252" w:lineRule="auto"/>
        <w:ind w:firstLine="259"/>
        <w:jc w:val="both"/>
      </w:pPr>
      <w:r>
        <w:rPr>
          <w:rFonts w:ascii="Times New Roman" w:hAnsi="Times New Roman"/>
          <w:color w:val="000000"/>
          <w:sz w:val="19"/>
        </w:rPr>
        <w:t>To verify that machine learning provides genuine predictive skill over heuristics, we benchmark against Persistence (B1) and k-sigma thresholding (B2). To quantify sensor synergy, we train single-sensor models (B3/B4). As reported in Table II, Solar Sentinel achieves TSS = 0.318, delivering a +132% gain over Persistence (TSS = 0.137) and +122% over k-sigma thresholding (TSS = 0.143). Furthermore, dual-sensor forecasting strictly outperforms SoLEXS-only (TSS = 0.283) and HEL1OS-only (TSS = 0.289), confirming cross-sensor synergy.</w:t>
      </w:r>
    </w:p>
    <w:p>
      <w:pPr>
        <w:keepNext/>
        <w:spacing w:before="120" w:after="60"/>
        <w:jc w:val="center"/>
      </w:pPr>
      <w:r>
        <w:rPr>
          <w:rFonts w:ascii="Times New Roman" w:hAnsi="Times New Roman"/>
          <w:b/>
          <w:color w:val="000000"/>
          <w:sz w:val="17"/>
        </w:rPr>
        <w:t>TABLE II</w:t>
        <w:br/>
        <w:t>BASELINES AND SENSOR ABLATION STUDY ON SDBP HOLDOUT DATA</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979"/>
        <w:gridCol w:w="979"/>
        <w:gridCol w:w="979"/>
        <w:gridCol w:w="979"/>
        <w:gridCol w:w="979"/>
        <w:gridCol w:w="979"/>
        <w:gridCol w:w="979"/>
        <w:gridCol w:w="979"/>
        <w:gridCol w:w="979"/>
        <w:gridCol w:w="979"/>
      </w:tblGrid>
      <w:tr>
        <w:tc>
          <w:tcPr>
            <w:tcW w:type="dxa" w:w="432"/>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ID</w:t>
            </w:r>
          </w:p>
        </w:tc>
        <w:tc>
          <w:tcPr>
            <w:tcW w:type="dxa" w:w="1008"/>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Architecture</w:t>
            </w:r>
          </w:p>
        </w:tc>
        <w:tc>
          <w:tcPr>
            <w:tcW w:type="dxa" w:w="288"/>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n</w:t>
            </w:r>
          </w:p>
        </w:tc>
        <w:tc>
          <w:tcPr>
            <w:tcW w:type="dxa" w:w="389"/>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F1</w:t>
            </w:r>
          </w:p>
        </w:tc>
        <w:tc>
          <w:tcPr>
            <w:tcW w:type="dxa" w:w="389"/>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TSS</w:t>
            </w:r>
          </w:p>
        </w:tc>
        <w:tc>
          <w:tcPr>
            <w:tcW w:type="dxa" w:w="389"/>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HSS</w:t>
            </w:r>
          </w:p>
        </w:tc>
        <w:tc>
          <w:tcPr>
            <w:tcW w:type="dxa" w:w="389"/>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ROC</w:t>
            </w:r>
          </w:p>
        </w:tc>
        <w:tc>
          <w:tcPr>
            <w:tcW w:type="dxa" w:w="389"/>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PR</w:t>
            </w:r>
          </w:p>
        </w:tc>
        <w:tc>
          <w:tcPr>
            <w:tcW w:type="dxa" w:w="389"/>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Prec</w:t>
            </w:r>
          </w:p>
        </w:tc>
        <w:tc>
          <w:tcPr>
            <w:tcW w:type="dxa" w:w="389"/>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Rec</w:t>
            </w:r>
          </w:p>
        </w:tc>
      </w:tr>
      <w:tr>
        <w:tc>
          <w:tcPr>
            <w:tcW w:type="dxa" w:w="432"/>
            <w:tcMar>
              <w:top w:w="35" w:type="dxa"/>
              <w:bottom w:w="35" w:type="dxa"/>
              <w:left w:w="40" w:type="dxa"/>
              <w:right w:w="40" w:type="dxa"/>
            </w:tcMar>
          </w:tcPr>
          <w:p>
            <w:pPr>
              <w:jc w:val="left"/>
            </w:pPr>
            <w:r>
              <w:rPr>
                <w:rFonts w:ascii="Times New Roman" w:hAnsi="Times New Roman"/>
                <w:color w:val="000000"/>
                <w:sz w:val="15"/>
              </w:rPr>
              <w:t>B1</w:t>
            </w:r>
          </w:p>
        </w:tc>
        <w:tc>
          <w:tcPr>
            <w:tcW w:type="dxa" w:w="1008"/>
            <w:tcMar>
              <w:top w:w="35" w:type="dxa"/>
              <w:bottom w:w="35" w:type="dxa"/>
              <w:left w:w="40" w:type="dxa"/>
              <w:right w:w="40" w:type="dxa"/>
            </w:tcMar>
          </w:tcPr>
          <w:p>
            <w:pPr>
              <w:jc w:val="center"/>
            </w:pPr>
            <w:r>
              <w:rPr>
                <w:rFonts w:ascii="Times New Roman" w:hAnsi="Times New Roman"/>
                <w:color w:val="000000"/>
                <w:sz w:val="15"/>
              </w:rPr>
              <w:t>Persistence</w:t>
            </w:r>
          </w:p>
        </w:tc>
        <w:tc>
          <w:tcPr>
            <w:tcW w:type="dxa" w:w="288"/>
            <w:tcMar>
              <w:top w:w="35" w:type="dxa"/>
              <w:bottom w:w="35" w:type="dxa"/>
              <w:left w:w="40" w:type="dxa"/>
              <w:right w:w="40" w:type="dxa"/>
            </w:tcMar>
          </w:tcPr>
          <w:p>
            <w:pPr>
              <w:jc w:val="center"/>
            </w:pPr>
            <w:r>
              <w:rPr>
                <w:rFonts w:ascii="Times New Roman" w:hAnsi="Times New Roman"/>
                <w:color w:val="000000"/>
                <w:sz w:val="15"/>
              </w:rPr>
              <w:t>—</w:t>
            </w:r>
          </w:p>
        </w:tc>
        <w:tc>
          <w:tcPr>
            <w:tcW w:type="dxa" w:w="389"/>
            <w:tcMar>
              <w:top w:w="35" w:type="dxa"/>
              <w:bottom w:w="35" w:type="dxa"/>
              <w:left w:w="40" w:type="dxa"/>
              <w:right w:w="40" w:type="dxa"/>
            </w:tcMar>
          </w:tcPr>
          <w:p>
            <w:pPr>
              <w:jc w:val="center"/>
            </w:pPr>
            <w:r>
              <w:rPr>
                <w:rFonts w:ascii="Times New Roman" w:hAnsi="Times New Roman"/>
                <w:color w:val="000000"/>
                <w:sz w:val="15"/>
              </w:rPr>
              <w:t>0.172</w:t>
            </w:r>
          </w:p>
        </w:tc>
        <w:tc>
          <w:tcPr>
            <w:tcW w:type="dxa" w:w="389"/>
            <w:tcMar>
              <w:top w:w="35" w:type="dxa"/>
              <w:bottom w:w="35" w:type="dxa"/>
              <w:left w:w="40" w:type="dxa"/>
              <w:right w:w="40" w:type="dxa"/>
            </w:tcMar>
          </w:tcPr>
          <w:p>
            <w:pPr>
              <w:jc w:val="center"/>
            </w:pPr>
            <w:r>
              <w:rPr>
                <w:rFonts w:ascii="Times New Roman" w:hAnsi="Times New Roman"/>
                <w:color w:val="000000"/>
                <w:sz w:val="15"/>
              </w:rPr>
              <w:t>0.137</w:t>
            </w:r>
          </w:p>
        </w:tc>
        <w:tc>
          <w:tcPr>
            <w:tcW w:type="dxa" w:w="389"/>
            <w:tcMar>
              <w:top w:w="35" w:type="dxa"/>
              <w:bottom w:w="35" w:type="dxa"/>
              <w:left w:w="40" w:type="dxa"/>
              <w:right w:w="40" w:type="dxa"/>
            </w:tcMar>
          </w:tcPr>
          <w:p>
            <w:pPr>
              <w:jc w:val="center"/>
            </w:pPr>
            <w:r>
              <w:rPr>
                <w:rFonts w:ascii="Times New Roman" w:hAnsi="Times New Roman"/>
                <w:color w:val="000000"/>
                <w:sz w:val="15"/>
              </w:rPr>
              <w:t>0.137</w:t>
            </w:r>
          </w:p>
        </w:tc>
        <w:tc>
          <w:tcPr>
            <w:tcW w:type="dxa" w:w="389"/>
            <w:tcMar>
              <w:top w:w="35" w:type="dxa"/>
              <w:bottom w:w="35" w:type="dxa"/>
              <w:left w:w="40" w:type="dxa"/>
              <w:right w:w="40" w:type="dxa"/>
            </w:tcMar>
          </w:tcPr>
          <w:p>
            <w:pPr>
              <w:jc w:val="center"/>
            </w:pPr>
            <w:r>
              <w:rPr>
                <w:rFonts w:ascii="Times New Roman" w:hAnsi="Times New Roman"/>
                <w:color w:val="000000"/>
                <w:sz w:val="15"/>
              </w:rPr>
              <w:t>—</w:t>
            </w:r>
          </w:p>
        </w:tc>
        <w:tc>
          <w:tcPr>
            <w:tcW w:type="dxa" w:w="389"/>
            <w:tcMar>
              <w:top w:w="35" w:type="dxa"/>
              <w:bottom w:w="35" w:type="dxa"/>
              <w:left w:w="40" w:type="dxa"/>
              <w:right w:w="40" w:type="dxa"/>
            </w:tcMar>
          </w:tcPr>
          <w:p>
            <w:pPr>
              <w:jc w:val="center"/>
            </w:pPr>
            <w:r>
              <w:rPr>
                <w:rFonts w:ascii="Times New Roman" w:hAnsi="Times New Roman"/>
                <w:color w:val="000000"/>
                <w:sz w:val="15"/>
              </w:rPr>
              <w:t>—</w:t>
            </w:r>
          </w:p>
        </w:tc>
        <w:tc>
          <w:tcPr>
            <w:tcW w:type="dxa" w:w="389"/>
            <w:tcMar>
              <w:top w:w="35" w:type="dxa"/>
              <w:bottom w:w="35" w:type="dxa"/>
              <w:left w:w="40" w:type="dxa"/>
              <w:right w:w="40" w:type="dxa"/>
            </w:tcMar>
          </w:tcPr>
          <w:p>
            <w:pPr>
              <w:jc w:val="center"/>
            </w:pPr>
            <w:r>
              <w:rPr>
                <w:rFonts w:ascii="Times New Roman" w:hAnsi="Times New Roman"/>
                <w:color w:val="000000"/>
                <w:sz w:val="15"/>
              </w:rPr>
              <w:t>0.172</w:t>
            </w:r>
          </w:p>
        </w:tc>
        <w:tc>
          <w:tcPr>
            <w:tcW w:type="dxa" w:w="389"/>
            <w:tcMar>
              <w:top w:w="35" w:type="dxa"/>
              <w:bottom w:w="35" w:type="dxa"/>
              <w:left w:w="40" w:type="dxa"/>
              <w:right w:w="40" w:type="dxa"/>
            </w:tcMar>
          </w:tcPr>
          <w:p>
            <w:pPr>
              <w:jc w:val="center"/>
            </w:pPr>
            <w:r>
              <w:rPr>
                <w:rFonts w:ascii="Times New Roman" w:hAnsi="Times New Roman"/>
                <w:color w:val="000000"/>
                <w:sz w:val="15"/>
              </w:rPr>
              <w:t>0.172</w:t>
            </w:r>
          </w:p>
        </w:tc>
      </w:tr>
      <w:tr>
        <w:tc>
          <w:tcPr>
            <w:tcW w:type="dxa" w:w="432"/>
            <w:tcMar>
              <w:top w:w="35" w:type="dxa"/>
              <w:bottom w:w="35" w:type="dxa"/>
              <w:left w:w="40" w:type="dxa"/>
              <w:right w:w="40" w:type="dxa"/>
            </w:tcMar>
          </w:tcPr>
          <w:p>
            <w:pPr>
              <w:jc w:val="left"/>
            </w:pPr>
            <w:r>
              <w:rPr>
                <w:rFonts w:ascii="Times New Roman" w:hAnsi="Times New Roman"/>
                <w:color w:val="000000"/>
                <w:sz w:val="15"/>
              </w:rPr>
              <w:t>B2</w:t>
            </w:r>
          </w:p>
        </w:tc>
        <w:tc>
          <w:tcPr>
            <w:tcW w:type="dxa" w:w="1008"/>
            <w:tcMar>
              <w:top w:w="35" w:type="dxa"/>
              <w:bottom w:w="35" w:type="dxa"/>
              <w:left w:w="40" w:type="dxa"/>
              <w:right w:w="40" w:type="dxa"/>
            </w:tcMar>
          </w:tcPr>
          <w:p>
            <w:pPr>
              <w:jc w:val="left"/>
            </w:pPr>
            <w:r>
              <w:rPr>
                <w:rFonts w:ascii="Times New Roman" w:hAnsi="Times New Roman"/>
                <w:color w:val="000000"/>
                <w:sz w:val="15"/>
              </w:rPr>
              <w:t>k-sigma (&gt;=3.0)</w:t>
            </w:r>
          </w:p>
        </w:tc>
        <w:tc>
          <w:tcPr>
            <w:tcW w:type="dxa" w:w="288"/>
            <w:tcMar>
              <w:top w:w="35" w:type="dxa"/>
              <w:bottom w:w="35" w:type="dxa"/>
              <w:left w:w="40" w:type="dxa"/>
              <w:right w:w="40" w:type="dxa"/>
            </w:tcMar>
          </w:tcPr>
          <w:p>
            <w:pPr>
              <w:jc w:val="center"/>
            </w:pPr>
            <w:r>
              <w:rPr>
                <w:rFonts w:ascii="Times New Roman" w:hAnsi="Times New Roman"/>
                <w:color w:val="000000"/>
                <w:sz w:val="15"/>
              </w:rPr>
              <w:t>1</w:t>
            </w:r>
          </w:p>
        </w:tc>
        <w:tc>
          <w:tcPr>
            <w:tcW w:type="dxa" w:w="389"/>
            <w:tcMar>
              <w:top w:w="35" w:type="dxa"/>
              <w:bottom w:w="35" w:type="dxa"/>
              <w:left w:w="40" w:type="dxa"/>
              <w:right w:w="40" w:type="dxa"/>
            </w:tcMar>
          </w:tcPr>
          <w:p>
            <w:pPr>
              <w:jc w:val="center"/>
            </w:pPr>
            <w:r>
              <w:rPr>
                <w:rFonts w:ascii="Times New Roman" w:hAnsi="Times New Roman"/>
                <w:color w:val="000000"/>
                <w:sz w:val="15"/>
              </w:rPr>
              <w:t>0.223</w:t>
            </w:r>
          </w:p>
        </w:tc>
        <w:tc>
          <w:tcPr>
            <w:tcW w:type="dxa" w:w="389"/>
            <w:tcMar>
              <w:top w:w="35" w:type="dxa"/>
              <w:bottom w:w="35" w:type="dxa"/>
              <w:left w:w="40" w:type="dxa"/>
              <w:right w:w="40" w:type="dxa"/>
            </w:tcMar>
          </w:tcPr>
          <w:p>
            <w:pPr>
              <w:jc w:val="center"/>
            </w:pPr>
            <w:r>
              <w:rPr>
                <w:rFonts w:ascii="Times New Roman" w:hAnsi="Times New Roman"/>
                <w:color w:val="000000"/>
                <w:sz w:val="15"/>
              </w:rPr>
              <w:t>0.143</w:t>
            </w:r>
          </w:p>
        </w:tc>
        <w:tc>
          <w:tcPr>
            <w:tcW w:type="dxa" w:w="389"/>
            <w:tcMar>
              <w:top w:w="35" w:type="dxa"/>
              <w:bottom w:w="35" w:type="dxa"/>
              <w:left w:w="40" w:type="dxa"/>
              <w:right w:w="40" w:type="dxa"/>
            </w:tcMar>
          </w:tcPr>
          <w:p>
            <w:pPr>
              <w:jc w:val="center"/>
            </w:pPr>
            <w:r>
              <w:rPr>
                <w:rFonts w:ascii="Times New Roman" w:hAnsi="Times New Roman"/>
                <w:color w:val="000000"/>
                <w:sz w:val="15"/>
              </w:rPr>
              <w:t>0.205</w:t>
            </w:r>
          </w:p>
        </w:tc>
        <w:tc>
          <w:tcPr>
            <w:tcW w:type="dxa" w:w="389"/>
            <w:tcMar>
              <w:top w:w="35" w:type="dxa"/>
              <w:bottom w:w="35" w:type="dxa"/>
              <w:left w:w="40" w:type="dxa"/>
              <w:right w:w="40" w:type="dxa"/>
            </w:tcMar>
          </w:tcPr>
          <w:p>
            <w:pPr>
              <w:jc w:val="center"/>
            </w:pPr>
            <w:r>
              <w:rPr>
                <w:rFonts w:ascii="Times New Roman" w:hAnsi="Times New Roman"/>
                <w:color w:val="000000"/>
                <w:sz w:val="15"/>
              </w:rPr>
              <w:t>—</w:t>
            </w:r>
          </w:p>
        </w:tc>
        <w:tc>
          <w:tcPr>
            <w:tcW w:type="dxa" w:w="389"/>
            <w:tcMar>
              <w:top w:w="35" w:type="dxa"/>
              <w:bottom w:w="35" w:type="dxa"/>
              <w:left w:w="40" w:type="dxa"/>
              <w:right w:w="40" w:type="dxa"/>
            </w:tcMar>
          </w:tcPr>
          <w:p>
            <w:pPr>
              <w:jc w:val="center"/>
            </w:pPr>
            <w:r>
              <w:rPr>
                <w:rFonts w:ascii="Times New Roman" w:hAnsi="Times New Roman"/>
                <w:color w:val="000000"/>
                <w:sz w:val="15"/>
              </w:rPr>
              <w:t>—</w:t>
            </w:r>
          </w:p>
        </w:tc>
        <w:tc>
          <w:tcPr>
            <w:tcW w:type="dxa" w:w="389"/>
            <w:tcMar>
              <w:top w:w="35" w:type="dxa"/>
              <w:bottom w:w="35" w:type="dxa"/>
              <w:left w:w="40" w:type="dxa"/>
              <w:right w:w="40" w:type="dxa"/>
            </w:tcMar>
          </w:tcPr>
          <w:p>
            <w:pPr>
              <w:jc w:val="center"/>
            </w:pPr>
            <w:r>
              <w:rPr>
                <w:rFonts w:ascii="Times New Roman" w:hAnsi="Times New Roman"/>
                <w:color w:val="000000"/>
                <w:sz w:val="15"/>
              </w:rPr>
              <w:t>0.412</w:t>
            </w:r>
          </w:p>
        </w:tc>
        <w:tc>
          <w:tcPr>
            <w:tcW w:type="dxa" w:w="389"/>
            <w:tcMar>
              <w:top w:w="35" w:type="dxa"/>
              <w:bottom w:w="35" w:type="dxa"/>
              <w:left w:w="40" w:type="dxa"/>
              <w:right w:w="40" w:type="dxa"/>
            </w:tcMar>
          </w:tcPr>
          <w:p>
            <w:pPr>
              <w:jc w:val="center"/>
            </w:pPr>
            <w:r>
              <w:rPr>
                <w:rFonts w:ascii="Times New Roman" w:hAnsi="Times New Roman"/>
                <w:color w:val="000000"/>
                <w:sz w:val="15"/>
              </w:rPr>
              <w:t>0.153</w:t>
            </w:r>
          </w:p>
        </w:tc>
      </w:tr>
      <w:tr>
        <w:tc>
          <w:tcPr>
            <w:tcW w:type="dxa" w:w="432"/>
            <w:tcMar>
              <w:top w:w="35" w:type="dxa"/>
              <w:bottom w:w="35" w:type="dxa"/>
              <w:left w:w="40" w:type="dxa"/>
              <w:right w:w="40" w:type="dxa"/>
            </w:tcMar>
          </w:tcPr>
          <w:p>
            <w:pPr>
              <w:jc w:val="left"/>
            </w:pPr>
            <w:r>
              <w:rPr>
                <w:rFonts w:ascii="Times New Roman" w:hAnsi="Times New Roman"/>
                <w:color w:val="000000"/>
                <w:sz w:val="15"/>
              </w:rPr>
              <w:t>B3</w:t>
            </w:r>
          </w:p>
        </w:tc>
        <w:tc>
          <w:tcPr>
            <w:tcW w:type="dxa" w:w="1008"/>
            <w:tcMar>
              <w:top w:w="35" w:type="dxa"/>
              <w:bottom w:w="35" w:type="dxa"/>
              <w:left w:w="40" w:type="dxa"/>
              <w:right w:w="40" w:type="dxa"/>
            </w:tcMar>
          </w:tcPr>
          <w:p>
            <w:pPr>
              <w:jc w:val="center"/>
            </w:pPr>
            <w:r>
              <w:rPr>
                <w:rFonts w:ascii="Times New Roman" w:hAnsi="Times New Roman"/>
                <w:color w:val="000000"/>
                <w:sz w:val="15"/>
              </w:rPr>
              <w:t>SoLEXS-Only</w:t>
            </w:r>
          </w:p>
        </w:tc>
        <w:tc>
          <w:tcPr>
            <w:tcW w:type="dxa" w:w="288"/>
            <w:tcMar>
              <w:top w:w="35" w:type="dxa"/>
              <w:bottom w:w="35" w:type="dxa"/>
              <w:left w:w="40" w:type="dxa"/>
              <w:right w:w="40" w:type="dxa"/>
            </w:tcMar>
          </w:tcPr>
          <w:p>
            <w:pPr>
              <w:jc w:val="center"/>
            </w:pPr>
            <w:r>
              <w:rPr>
                <w:rFonts w:ascii="Times New Roman" w:hAnsi="Times New Roman"/>
                <w:color w:val="000000"/>
                <w:sz w:val="15"/>
              </w:rPr>
              <w:t>12</w:t>
            </w:r>
          </w:p>
        </w:tc>
        <w:tc>
          <w:tcPr>
            <w:tcW w:type="dxa" w:w="389"/>
            <w:tcMar>
              <w:top w:w="35" w:type="dxa"/>
              <w:bottom w:w="35" w:type="dxa"/>
              <w:left w:w="40" w:type="dxa"/>
              <w:right w:w="40" w:type="dxa"/>
            </w:tcMar>
          </w:tcPr>
          <w:p>
            <w:pPr>
              <w:jc w:val="center"/>
            </w:pPr>
            <w:r>
              <w:rPr>
                <w:rFonts w:ascii="Times New Roman" w:hAnsi="Times New Roman"/>
                <w:color w:val="000000"/>
                <w:sz w:val="15"/>
              </w:rPr>
              <w:t>0.279</w:t>
            </w:r>
          </w:p>
        </w:tc>
        <w:tc>
          <w:tcPr>
            <w:tcW w:type="dxa" w:w="389"/>
            <w:tcMar>
              <w:top w:w="35" w:type="dxa"/>
              <w:bottom w:w="35" w:type="dxa"/>
              <w:left w:w="40" w:type="dxa"/>
              <w:right w:w="40" w:type="dxa"/>
            </w:tcMar>
          </w:tcPr>
          <w:p>
            <w:pPr>
              <w:jc w:val="center"/>
            </w:pPr>
            <w:r>
              <w:rPr>
                <w:rFonts w:ascii="Times New Roman" w:hAnsi="Times New Roman"/>
                <w:color w:val="000000"/>
                <w:sz w:val="15"/>
              </w:rPr>
              <w:t>0.283</w:t>
            </w:r>
          </w:p>
        </w:tc>
        <w:tc>
          <w:tcPr>
            <w:tcW w:type="dxa" w:w="389"/>
            <w:tcMar>
              <w:top w:w="35" w:type="dxa"/>
              <w:bottom w:w="35" w:type="dxa"/>
              <w:left w:w="40" w:type="dxa"/>
              <w:right w:w="40" w:type="dxa"/>
            </w:tcMar>
          </w:tcPr>
          <w:p>
            <w:pPr>
              <w:jc w:val="center"/>
            </w:pPr>
            <w:r>
              <w:rPr>
                <w:rFonts w:ascii="Times New Roman" w:hAnsi="Times New Roman"/>
                <w:color w:val="000000"/>
                <w:sz w:val="15"/>
              </w:rPr>
              <w:t>0.242</w:t>
            </w:r>
          </w:p>
        </w:tc>
        <w:tc>
          <w:tcPr>
            <w:tcW w:type="dxa" w:w="389"/>
            <w:tcMar>
              <w:top w:w="35" w:type="dxa"/>
              <w:bottom w:w="35" w:type="dxa"/>
              <w:left w:w="40" w:type="dxa"/>
              <w:right w:w="40" w:type="dxa"/>
            </w:tcMar>
          </w:tcPr>
          <w:p>
            <w:pPr>
              <w:jc w:val="center"/>
            </w:pPr>
            <w:r>
              <w:rPr>
                <w:rFonts w:ascii="Times New Roman" w:hAnsi="Times New Roman"/>
                <w:color w:val="000000"/>
                <w:sz w:val="15"/>
              </w:rPr>
              <w:t>0.798</w:t>
            </w:r>
          </w:p>
        </w:tc>
        <w:tc>
          <w:tcPr>
            <w:tcW w:type="dxa" w:w="389"/>
            <w:tcMar>
              <w:top w:w="35" w:type="dxa"/>
              <w:bottom w:w="35" w:type="dxa"/>
              <w:left w:w="40" w:type="dxa"/>
              <w:right w:w="40" w:type="dxa"/>
            </w:tcMar>
          </w:tcPr>
          <w:p>
            <w:pPr>
              <w:jc w:val="center"/>
            </w:pPr>
            <w:r>
              <w:rPr>
                <w:rFonts w:ascii="Times New Roman" w:hAnsi="Times New Roman"/>
                <w:color w:val="000000"/>
                <w:sz w:val="15"/>
              </w:rPr>
              <w:t>0.266</w:t>
            </w:r>
          </w:p>
        </w:tc>
        <w:tc>
          <w:tcPr>
            <w:tcW w:type="dxa" w:w="389"/>
            <w:tcMar>
              <w:top w:w="35" w:type="dxa"/>
              <w:bottom w:w="35" w:type="dxa"/>
              <w:left w:w="40" w:type="dxa"/>
              <w:right w:w="40" w:type="dxa"/>
            </w:tcMar>
          </w:tcPr>
          <w:p>
            <w:pPr>
              <w:jc w:val="center"/>
            </w:pPr>
            <w:r>
              <w:rPr>
                <w:rFonts w:ascii="Times New Roman" w:hAnsi="Times New Roman"/>
                <w:color w:val="000000"/>
                <w:sz w:val="15"/>
              </w:rPr>
              <w:t>0.243</w:t>
            </w:r>
          </w:p>
        </w:tc>
        <w:tc>
          <w:tcPr>
            <w:tcW w:type="dxa" w:w="389"/>
            <w:tcMar>
              <w:top w:w="35" w:type="dxa"/>
              <w:bottom w:w="35" w:type="dxa"/>
              <w:left w:w="40" w:type="dxa"/>
              <w:right w:w="40" w:type="dxa"/>
            </w:tcMar>
          </w:tcPr>
          <w:p>
            <w:pPr>
              <w:jc w:val="center"/>
            </w:pPr>
            <w:r>
              <w:rPr>
                <w:rFonts w:ascii="Times New Roman" w:hAnsi="Times New Roman"/>
                <w:color w:val="000000"/>
                <w:sz w:val="15"/>
              </w:rPr>
              <w:t>0.327</w:t>
            </w:r>
          </w:p>
        </w:tc>
      </w:tr>
      <w:tr>
        <w:tc>
          <w:tcPr>
            <w:tcW w:type="dxa" w:w="432"/>
            <w:tcMar>
              <w:top w:w="35" w:type="dxa"/>
              <w:bottom w:w="35" w:type="dxa"/>
              <w:left w:w="40" w:type="dxa"/>
              <w:right w:w="40" w:type="dxa"/>
            </w:tcMar>
          </w:tcPr>
          <w:p>
            <w:pPr>
              <w:jc w:val="left"/>
            </w:pPr>
            <w:r>
              <w:rPr>
                <w:rFonts w:ascii="Times New Roman" w:hAnsi="Times New Roman"/>
                <w:color w:val="000000"/>
                <w:sz w:val="15"/>
              </w:rPr>
              <w:t>B4</w:t>
            </w:r>
          </w:p>
        </w:tc>
        <w:tc>
          <w:tcPr>
            <w:tcW w:type="dxa" w:w="1008"/>
            <w:tcMar>
              <w:top w:w="35" w:type="dxa"/>
              <w:bottom w:w="35" w:type="dxa"/>
              <w:left w:w="40" w:type="dxa"/>
              <w:right w:w="40" w:type="dxa"/>
            </w:tcMar>
          </w:tcPr>
          <w:p>
            <w:pPr>
              <w:jc w:val="center"/>
            </w:pPr>
            <w:r>
              <w:rPr>
                <w:rFonts w:ascii="Times New Roman" w:hAnsi="Times New Roman"/>
                <w:color w:val="000000"/>
                <w:sz w:val="15"/>
              </w:rPr>
              <w:t>HEL1OS-Only</w:t>
            </w:r>
          </w:p>
        </w:tc>
        <w:tc>
          <w:tcPr>
            <w:tcW w:type="dxa" w:w="288"/>
            <w:tcMar>
              <w:top w:w="35" w:type="dxa"/>
              <w:bottom w:w="35" w:type="dxa"/>
              <w:left w:w="40" w:type="dxa"/>
              <w:right w:w="40" w:type="dxa"/>
            </w:tcMar>
          </w:tcPr>
          <w:p>
            <w:pPr>
              <w:jc w:val="center"/>
            </w:pPr>
            <w:r>
              <w:rPr>
                <w:rFonts w:ascii="Times New Roman" w:hAnsi="Times New Roman"/>
                <w:color w:val="000000"/>
                <w:sz w:val="15"/>
              </w:rPr>
              <w:t>11</w:t>
            </w:r>
          </w:p>
        </w:tc>
        <w:tc>
          <w:tcPr>
            <w:tcW w:type="dxa" w:w="389"/>
            <w:tcMar>
              <w:top w:w="35" w:type="dxa"/>
              <w:bottom w:w="35" w:type="dxa"/>
              <w:left w:w="40" w:type="dxa"/>
              <w:right w:w="40" w:type="dxa"/>
            </w:tcMar>
          </w:tcPr>
          <w:p>
            <w:pPr>
              <w:jc w:val="center"/>
            </w:pPr>
            <w:r>
              <w:rPr>
                <w:rFonts w:ascii="Times New Roman" w:hAnsi="Times New Roman"/>
                <w:color w:val="000000"/>
                <w:sz w:val="15"/>
              </w:rPr>
              <w:t>0.265</w:t>
            </w:r>
          </w:p>
        </w:tc>
        <w:tc>
          <w:tcPr>
            <w:tcW w:type="dxa" w:w="389"/>
            <w:tcMar>
              <w:top w:w="35" w:type="dxa"/>
              <w:bottom w:w="35" w:type="dxa"/>
              <w:left w:w="40" w:type="dxa"/>
              <w:right w:w="40" w:type="dxa"/>
            </w:tcMar>
          </w:tcPr>
          <w:p>
            <w:pPr>
              <w:jc w:val="center"/>
            </w:pPr>
            <w:r>
              <w:rPr>
                <w:rFonts w:ascii="Times New Roman" w:hAnsi="Times New Roman"/>
                <w:color w:val="000000"/>
                <w:sz w:val="15"/>
              </w:rPr>
              <w:t>0.289</w:t>
            </w:r>
          </w:p>
        </w:tc>
        <w:tc>
          <w:tcPr>
            <w:tcW w:type="dxa" w:w="389"/>
            <w:tcMar>
              <w:top w:w="35" w:type="dxa"/>
              <w:bottom w:w="35" w:type="dxa"/>
              <w:left w:w="40" w:type="dxa"/>
              <w:right w:w="40" w:type="dxa"/>
            </w:tcMar>
          </w:tcPr>
          <w:p>
            <w:pPr>
              <w:jc w:val="center"/>
            </w:pPr>
            <w:r>
              <w:rPr>
                <w:rFonts w:ascii="Times New Roman" w:hAnsi="Times New Roman"/>
                <w:color w:val="000000"/>
                <w:sz w:val="15"/>
              </w:rPr>
              <w:t>0.226</w:t>
            </w:r>
          </w:p>
        </w:tc>
        <w:tc>
          <w:tcPr>
            <w:tcW w:type="dxa" w:w="389"/>
            <w:tcMar>
              <w:top w:w="35" w:type="dxa"/>
              <w:bottom w:w="35" w:type="dxa"/>
              <w:left w:w="40" w:type="dxa"/>
              <w:right w:w="40" w:type="dxa"/>
            </w:tcMar>
          </w:tcPr>
          <w:p>
            <w:pPr>
              <w:jc w:val="center"/>
            </w:pPr>
            <w:r>
              <w:rPr>
                <w:rFonts w:ascii="Times New Roman" w:hAnsi="Times New Roman"/>
                <w:color w:val="000000"/>
                <w:sz w:val="15"/>
              </w:rPr>
              <w:t>0.771</w:t>
            </w:r>
          </w:p>
        </w:tc>
        <w:tc>
          <w:tcPr>
            <w:tcW w:type="dxa" w:w="389"/>
            <w:tcMar>
              <w:top w:w="35" w:type="dxa"/>
              <w:bottom w:w="35" w:type="dxa"/>
              <w:left w:w="40" w:type="dxa"/>
              <w:right w:w="40" w:type="dxa"/>
            </w:tcMar>
          </w:tcPr>
          <w:p>
            <w:pPr>
              <w:jc w:val="center"/>
            </w:pPr>
            <w:r>
              <w:rPr>
                <w:rFonts w:ascii="Times New Roman" w:hAnsi="Times New Roman"/>
                <w:color w:val="000000"/>
                <w:sz w:val="15"/>
              </w:rPr>
              <w:t>0.267</w:t>
            </w:r>
          </w:p>
        </w:tc>
        <w:tc>
          <w:tcPr>
            <w:tcW w:type="dxa" w:w="389"/>
            <w:tcMar>
              <w:top w:w="35" w:type="dxa"/>
              <w:bottom w:w="35" w:type="dxa"/>
              <w:left w:w="40" w:type="dxa"/>
              <w:right w:w="40" w:type="dxa"/>
            </w:tcMar>
          </w:tcPr>
          <w:p>
            <w:pPr>
              <w:jc w:val="center"/>
            </w:pPr>
            <w:r>
              <w:rPr>
                <w:rFonts w:ascii="Times New Roman" w:hAnsi="Times New Roman"/>
                <w:color w:val="000000"/>
                <w:sz w:val="15"/>
              </w:rPr>
              <w:t>0.216</w:t>
            </w:r>
          </w:p>
        </w:tc>
        <w:tc>
          <w:tcPr>
            <w:tcW w:type="dxa" w:w="389"/>
            <w:tcMar>
              <w:top w:w="35" w:type="dxa"/>
              <w:bottom w:w="35" w:type="dxa"/>
              <w:left w:w="40" w:type="dxa"/>
              <w:right w:w="40" w:type="dxa"/>
            </w:tcMar>
          </w:tcPr>
          <w:p>
            <w:pPr>
              <w:jc w:val="center"/>
            </w:pPr>
            <w:r>
              <w:rPr>
                <w:rFonts w:ascii="Times New Roman" w:hAnsi="Times New Roman"/>
                <w:color w:val="000000"/>
                <w:sz w:val="15"/>
              </w:rPr>
              <w:t>0.344</w:t>
            </w:r>
          </w:p>
        </w:tc>
      </w:tr>
      <w:tr>
        <w:tc>
          <w:tcPr>
            <w:tcW w:type="dxa" w:w="432"/>
            <w:tcMar>
              <w:top w:w="35" w:type="dxa"/>
              <w:bottom w:w="35" w:type="dxa"/>
              <w:left w:w="40" w:type="dxa"/>
              <w:right w:w="40" w:type="dxa"/>
            </w:tcMar>
          </w:tcPr>
          <w:p>
            <w:pPr>
              <w:jc w:val="left"/>
            </w:pPr>
            <w:r>
              <w:rPr>
                <w:rFonts w:ascii="Times New Roman" w:hAnsi="Times New Roman"/>
                <w:b/>
                <w:color w:val="000000"/>
                <w:sz w:val="15"/>
              </w:rPr>
              <w:t>Full</w:t>
            </w:r>
          </w:p>
        </w:tc>
        <w:tc>
          <w:tcPr>
            <w:tcW w:type="dxa" w:w="1008"/>
            <w:tcMar>
              <w:top w:w="35" w:type="dxa"/>
              <w:bottom w:w="35" w:type="dxa"/>
              <w:left w:w="40" w:type="dxa"/>
              <w:right w:w="40" w:type="dxa"/>
            </w:tcMar>
          </w:tcPr>
          <w:p>
            <w:pPr>
              <w:jc w:val="center"/>
            </w:pPr>
            <w:r>
              <w:rPr>
                <w:rFonts w:ascii="Times New Roman" w:hAnsi="Times New Roman"/>
                <w:color w:val="000000"/>
                <w:sz w:val="15"/>
              </w:rPr>
              <w:t>Dual-Sensor</w:t>
            </w:r>
          </w:p>
        </w:tc>
        <w:tc>
          <w:tcPr>
            <w:tcW w:type="dxa" w:w="288"/>
            <w:tcMar>
              <w:top w:w="35" w:type="dxa"/>
              <w:bottom w:w="35" w:type="dxa"/>
              <w:left w:w="40" w:type="dxa"/>
              <w:right w:w="40" w:type="dxa"/>
            </w:tcMar>
          </w:tcPr>
          <w:p>
            <w:pPr>
              <w:jc w:val="center"/>
            </w:pPr>
            <w:r>
              <w:rPr>
                <w:rFonts w:ascii="Times New Roman" w:hAnsi="Times New Roman"/>
                <w:color w:val="000000"/>
                <w:sz w:val="15"/>
              </w:rPr>
              <w:t>22</w:t>
            </w:r>
          </w:p>
        </w:tc>
        <w:tc>
          <w:tcPr>
            <w:tcW w:type="dxa" w:w="389"/>
            <w:tcMar>
              <w:top w:w="35" w:type="dxa"/>
              <w:bottom w:w="35" w:type="dxa"/>
              <w:left w:w="40" w:type="dxa"/>
              <w:right w:w="40" w:type="dxa"/>
            </w:tcMar>
          </w:tcPr>
          <w:p>
            <w:pPr>
              <w:jc w:val="center"/>
            </w:pPr>
            <w:r>
              <w:rPr>
                <w:rFonts w:ascii="Times New Roman" w:hAnsi="Times New Roman"/>
                <w:color w:val="000000"/>
                <w:sz w:val="15"/>
              </w:rPr>
              <w:t>0.292</w:t>
            </w:r>
          </w:p>
        </w:tc>
        <w:tc>
          <w:tcPr>
            <w:tcW w:type="dxa" w:w="389"/>
            <w:tcMar>
              <w:top w:w="35" w:type="dxa"/>
              <w:bottom w:w="35" w:type="dxa"/>
              <w:left w:w="40" w:type="dxa"/>
              <w:right w:w="40" w:type="dxa"/>
            </w:tcMar>
          </w:tcPr>
          <w:p>
            <w:pPr>
              <w:jc w:val="center"/>
            </w:pPr>
            <w:r>
              <w:rPr>
                <w:rFonts w:ascii="Times New Roman" w:hAnsi="Times New Roman"/>
                <w:b/>
                <w:color w:val="000000"/>
                <w:sz w:val="15"/>
              </w:rPr>
              <w:t>0.318</w:t>
            </w:r>
          </w:p>
        </w:tc>
        <w:tc>
          <w:tcPr>
            <w:tcW w:type="dxa" w:w="389"/>
            <w:tcMar>
              <w:top w:w="35" w:type="dxa"/>
              <w:bottom w:w="35" w:type="dxa"/>
              <w:left w:w="40" w:type="dxa"/>
              <w:right w:w="40" w:type="dxa"/>
            </w:tcMar>
          </w:tcPr>
          <w:p>
            <w:pPr>
              <w:jc w:val="center"/>
            </w:pPr>
            <w:r>
              <w:rPr>
                <w:rFonts w:ascii="Times New Roman" w:hAnsi="Times New Roman"/>
                <w:color w:val="000000"/>
                <w:sz w:val="15"/>
              </w:rPr>
              <w:t>0.255</w:t>
            </w:r>
          </w:p>
        </w:tc>
        <w:tc>
          <w:tcPr>
            <w:tcW w:type="dxa" w:w="389"/>
            <w:tcMar>
              <w:top w:w="35" w:type="dxa"/>
              <w:bottom w:w="35" w:type="dxa"/>
              <w:left w:w="40" w:type="dxa"/>
              <w:right w:w="40" w:type="dxa"/>
            </w:tcMar>
          </w:tcPr>
          <w:p>
            <w:pPr>
              <w:jc w:val="center"/>
            </w:pPr>
            <w:r>
              <w:rPr>
                <w:rFonts w:ascii="Times New Roman" w:hAnsi="Times New Roman"/>
                <w:color w:val="000000"/>
                <w:sz w:val="15"/>
              </w:rPr>
              <w:t>0.783</w:t>
            </w:r>
          </w:p>
        </w:tc>
        <w:tc>
          <w:tcPr>
            <w:tcW w:type="dxa" w:w="389"/>
            <w:tcMar>
              <w:top w:w="35" w:type="dxa"/>
              <w:bottom w:w="35" w:type="dxa"/>
              <w:left w:w="40" w:type="dxa"/>
              <w:right w:w="40" w:type="dxa"/>
            </w:tcMar>
          </w:tcPr>
          <w:p>
            <w:pPr>
              <w:jc w:val="center"/>
            </w:pPr>
            <w:r>
              <w:rPr>
                <w:rFonts w:ascii="Times New Roman" w:hAnsi="Times New Roman"/>
                <w:color w:val="000000"/>
                <w:sz w:val="15"/>
              </w:rPr>
              <w:t>0.272</w:t>
            </w:r>
          </w:p>
        </w:tc>
        <w:tc>
          <w:tcPr>
            <w:tcW w:type="dxa" w:w="389"/>
            <w:tcMar>
              <w:top w:w="35" w:type="dxa"/>
              <w:bottom w:w="35" w:type="dxa"/>
              <w:left w:w="40" w:type="dxa"/>
              <w:right w:w="40" w:type="dxa"/>
            </w:tcMar>
          </w:tcPr>
          <w:p>
            <w:pPr>
              <w:jc w:val="center"/>
            </w:pPr>
            <w:r>
              <w:rPr>
                <w:rFonts w:ascii="Times New Roman" w:hAnsi="Times New Roman"/>
                <w:color w:val="000000"/>
                <w:sz w:val="15"/>
              </w:rPr>
              <w:t>0.243</w:t>
            </w:r>
          </w:p>
        </w:tc>
        <w:tc>
          <w:tcPr>
            <w:tcW w:type="dxa" w:w="389"/>
            <w:tcMar>
              <w:top w:w="35" w:type="dxa"/>
              <w:bottom w:w="35" w:type="dxa"/>
              <w:left w:w="40" w:type="dxa"/>
              <w:right w:w="40" w:type="dxa"/>
            </w:tcMar>
          </w:tcPr>
          <w:p>
            <w:pPr>
              <w:jc w:val="center"/>
            </w:pPr>
            <w:r>
              <w:rPr>
                <w:rFonts w:ascii="Times New Roman" w:hAnsi="Times New Roman"/>
                <w:color w:val="000000"/>
                <w:sz w:val="15"/>
              </w:rPr>
              <w:t>0.367</w:t>
            </w:r>
          </w:p>
        </w:tc>
      </w:tr>
    </w:tbl>
    <w:p>
      <w:pPr>
        <w:spacing w:after="120"/>
      </w:pPr>
    </w:p>
    <w:p>
      <w:pPr>
        <w:spacing w:before="120" w:after="40"/>
        <w:jc w:val="center"/>
      </w:pPr>
      <w:r>
        <w:drawing>
          <wp:inline xmlns:a="http://schemas.openxmlformats.org/drawingml/2006/main" xmlns:pic="http://schemas.openxmlformats.org/drawingml/2006/picture">
            <wp:extent cx="2880360" cy="1742800"/>
            <wp:docPr id="2" name="Picture 2"/>
            <wp:cNvGraphicFramePr>
              <a:graphicFrameLocks noChangeAspect="1"/>
            </wp:cNvGraphicFramePr>
            <a:graphic>
              <a:graphicData uri="http://schemas.openxmlformats.org/drawingml/2006/picture">
                <pic:pic>
                  <pic:nvPicPr>
                    <pic:cNvPr id="0" name="fig4_ablation_dual_sensor.png"/>
                    <pic:cNvPicPr/>
                  </pic:nvPicPr>
                  <pic:blipFill>
                    <a:blip r:embed="rId10"/>
                    <a:stretch>
                      <a:fillRect/>
                    </a:stretch>
                  </pic:blipFill>
                  <pic:spPr>
                    <a:xfrm>
                      <a:off x="0" y="0"/>
                      <a:ext cx="2880360" cy="1742800"/>
                    </a:xfrm>
                    <a:prstGeom prst="rect"/>
                  </pic:spPr>
                </pic:pic>
              </a:graphicData>
            </a:graphic>
          </wp:inline>
        </w:drawing>
      </w:r>
    </w:p>
    <w:p>
      <w:pPr>
        <w:spacing w:after="160" w:line="252" w:lineRule="auto"/>
        <w:jc w:val="both"/>
      </w:pPr>
      <w:r>
        <w:rPr>
          <w:rFonts w:ascii="Times New Roman" w:hAnsi="Times New Roman"/>
          <w:color w:val="222222"/>
          <w:sz w:val="17"/>
        </w:rPr>
        <w:t>Fig. 2. Sensor ablation study on SDBP holdout test set demonstrating cross-sensor synergy.</w:t>
      </w:r>
    </w:p>
    <w:p>
      <w:pPr>
        <w:keepNext/>
        <w:spacing w:before="140" w:after="60"/>
        <w:jc w:val="left"/>
      </w:pPr>
      <w:r>
        <w:rPr>
          <w:rFonts w:ascii="Times New Roman" w:hAnsi="Times New Roman"/>
          <w:b/>
          <w:i/>
          <w:color w:val="000000"/>
          <w:sz w:val="20"/>
        </w:rPr>
        <w:t>C. Precision-Recall Dynamics</w:t>
      </w:r>
    </w:p>
    <w:p>
      <w:pPr>
        <w:spacing w:after="80" w:line="252" w:lineRule="auto"/>
        <w:ind w:firstLine="259"/>
        <w:jc w:val="both"/>
      </w:pPr>
      <w:r>
        <w:rPr>
          <w:rFonts w:ascii="Times New Roman" w:hAnsi="Times New Roman"/>
          <w:color w:val="000000"/>
          <w:sz w:val="19"/>
        </w:rPr>
        <w:t>In severe class imbalance (4.3% positive rate), PR AUC provides the canonical measure of precision-recall trade-off. As shown in Fig. 3, empirical PR AUC (0.272) exceeds the random prevalence baseline (0.043) by 6.3x. At calibrated operating threshold theta* = 0.68, the model captures 264 true positive flare precursor minutes on unseen daily blocks while maintaining 15,738 true quiet minutes silent.</w:t>
      </w:r>
    </w:p>
    <w:p>
      <w:pPr>
        <w:spacing w:before="120" w:after="40"/>
        <w:jc w:val="center"/>
      </w:pPr>
      <w:r>
        <w:drawing>
          <wp:inline xmlns:a="http://schemas.openxmlformats.org/drawingml/2006/main" xmlns:pic="http://schemas.openxmlformats.org/drawingml/2006/picture">
            <wp:extent cx="2880360" cy="2183097"/>
            <wp:docPr id="3" name="Picture 3"/>
            <wp:cNvGraphicFramePr>
              <a:graphicFrameLocks noChangeAspect="1"/>
            </wp:cNvGraphicFramePr>
            <a:graphic>
              <a:graphicData uri="http://schemas.openxmlformats.org/drawingml/2006/picture">
                <pic:pic>
                  <pic:nvPicPr>
                    <pic:cNvPr id="0" name="fig2_pr_curve.png"/>
                    <pic:cNvPicPr/>
                  </pic:nvPicPr>
                  <pic:blipFill>
                    <a:blip r:embed="rId11"/>
                    <a:stretch>
                      <a:fillRect/>
                    </a:stretch>
                  </pic:blipFill>
                  <pic:spPr>
                    <a:xfrm>
                      <a:off x="0" y="0"/>
                      <a:ext cx="2880360" cy="2183097"/>
                    </a:xfrm>
                    <a:prstGeom prst="rect"/>
                  </pic:spPr>
                </pic:pic>
              </a:graphicData>
            </a:graphic>
          </wp:inline>
        </w:drawing>
      </w:r>
    </w:p>
    <w:p>
      <w:pPr>
        <w:spacing w:after="160" w:line="252" w:lineRule="auto"/>
        <w:jc w:val="both"/>
      </w:pPr>
      <w:r>
        <w:rPr>
          <w:rFonts w:ascii="Times New Roman" w:hAnsi="Times New Roman"/>
          <w:color w:val="222222"/>
          <w:sz w:val="17"/>
        </w:rPr>
        <w:t>Fig. 3. Precision-Recall curve on unseen SDBP holdout blocks (PR AUC = 0.272 vs random baseline 0.043).</w:t>
      </w:r>
    </w:p>
    <w:p>
      <w:pPr>
        <w:keepNext/>
        <w:spacing w:before="140" w:after="60"/>
        <w:jc w:val="left"/>
      </w:pPr>
      <w:r>
        <w:rPr>
          <w:rFonts w:ascii="Times New Roman" w:hAnsi="Times New Roman"/>
          <w:b/>
          <w:i/>
          <w:color w:val="000000"/>
          <w:sz w:val="20"/>
        </w:rPr>
        <w:t>D. Forecast Horizon Sensitivity</w:t>
      </w:r>
    </w:p>
    <w:p>
      <w:pPr>
        <w:spacing w:after="80" w:line="252" w:lineRule="auto"/>
        <w:ind w:firstLine="259"/>
        <w:jc w:val="both"/>
      </w:pPr>
      <w:r>
        <w:rPr>
          <w:rFonts w:ascii="Times New Roman" w:hAnsi="Times New Roman"/>
          <w:color w:val="000000"/>
          <w:sz w:val="19"/>
        </w:rPr>
        <w:t>We evaluated forecast sensitivity across Delta in {10, 20, 30, 45, 60} minutes with ground-truth re-generated per horizon. As reported in Table III and Fig. 4, True Skill Statistic exhibits monotonic physical decay from TSS = 0.502 at 10 minutes to TSS = 0.288 at 60 minutes, tracking coronal pre-heating dissipation.</w:t>
      </w:r>
    </w:p>
    <w:p>
      <w:pPr>
        <w:keepNext/>
        <w:spacing w:before="120" w:after="60"/>
        <w:jc w:val="center"/>
      </w:pPr>
      <w:r>
        <w:rPr>
          <w:rFonts w:ascii="Times New Roman" w:hAnsi="Times New Roman"/>
          <w:b/>
          <w:color w:val="000000"/>
          <w:sz w:val="17"/>
        </w:rPr>
        <w:t>TABLE III</w:t>
        <w:br/>
        <w:t>FORECAST HORIZON SENSITIVITY SWEEP ACROSS LEAD TIMES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224"/>
        <w:gridCol w:w="1224"/>
        <w:gridCol w:w="1224"/>
        <w:gridCol w:w="1224"/>
        <w:gridCol w:w="1224"/>
        <w:gridCol w:w="1224"/>
        <w:gridCol w:w="1224"/>
        <w:gridCol w:w="1224"/>
      </w:tblGrid>
      <w:tr>
        <w:tc>
          <w:tcPr>
            <w:tcW w:type="dxa" w:w="936"/>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Horizon</w:t>
            </w:r>
          </w:p>
        </w:tc>
        <w:tc>
          <w:tcPr>
            <w:tcW w:type="dxa" w:w="504"/>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F1</w:t>
            </w:r>
          </w:p>
        </w:tc>
        <w:tc>
          <w:tcPr>
            <w:tcW w:type="dxa" w:w="504"/>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TSS</w:t>
            </w:r>
          </w:p>
        </w:tc>
        <w:tc>
          <w:tcPr>
            <w:tcW w:type="dxa" w:w="504"/>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HSS</w:t>
            </w:r>
          </w:p>
        </w:tc>
        <w:tc>
          <w:tcPr>
            <w:tcW w:type="dxa" w:w="504"/>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ROC</w:t>
            </w:r>
          </w:p>
        </w:tc>
        <w:tc>
          <w:tcPr>
            <w:tcW w:type="dxa" w:w="504"/>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PR</w:t>
            </w:r>
          </w:p>
        </w:tc>
        <w:tc>
          <w:tcPr>
            <w:tcW w:type="dxa" w:w="504"/>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Prec</w:t>
            </w:r>
          </w:p>
        </w:tc>
        <w:tc>
          <w:tcPr>
            <w:tcW w:type="dxa" w:w="504"/>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Rec</w:t>
            </w:r>
          </w:p>
        </w:tc>
      </w:tr>
      <w:tr>
        <w:tc>
          <w:tcPr>
            <w:tcW w:type="dxa" w:w="936"/>
            <w:tcMar>
              <w:top w:w="35" w:type="dxa"/>
              <w:bottom w:w="35" w:type="dxa"/>
              <w:left w:w="40" w:type="dxa"/>
              <w:right w:w="40" w:type="dxa"/>
            </w:tcMar>
          </w:tcPr>
          <w:p>
            <w:pPr>
              <w:jc w:val="left"/>
            </w:pPr>
            <w:r>
              <w:rPr>
                <w:rFonts w:ascii="Times New Roman" w:hAnsi="Times New Roman"/>
                <w:color w:val="000000"/>
                <w:sz w:val="15"/>
              </w:rPr>
              <w:t>10 min</w:t>
            </w:r>
          </w:p>
        </w:tc>
        <w:tc>
          <w:tcPr>
            <w:tcW w:type="dxa" w:w="504"/>
            <w:tcMar>
              <w:top w:w="35" w:type="dxa"/>
              <w:bottom w:w="35" w:type="dxa"/>
              <w:left w:w="40" w:type="dxa"/>
              <w:right w:w="40" w:type="dxa"/>
            </w:tcMar>
          </w:tcPr>
          <w:p>
            <w:pPr>
              <w:jc w:val="center"/>
            </w:pPr>
            <w:r>
              <w:rPr>
                <w:rFonts w:ascii="Times New Roman" w:hAnsi="Times New Roman"/>
                <w:color w:val="000000"/>
                <w:sz w:val="15"/>
              </w:rPr>
              <w:t>0.427</w:t>
            </w:r>
          </w:p>
        </w:tc>
        <w:tc>
          <w:tcPr>
            <w:tcW w:type="dxa" w:w="504"/>
            <w:tcMar>
              <w:top w:w="35" w:type="dxa"/>
              <w:bottom w:w="35" w:type="dxa"/>
              <w:left w:w="40" w:type="dxa"/>
              <w:right w:w="40" w:type="dxa"/>
            </w:tcMar>
          </w:tcPr>
          <w:p>
            <w:pPr>
              <w:jc w:val="center"/>
            </w:pPr>
            <w:r>
              <w:rPr>
                <w:rFonts w:ascii="Times New Roman" w:hAnsi="Times New Roman"/>
                <w:color w:val="000000"/>
                <w:sz w:val="15"/>
              </w:rPr>
              <w:t>0.502</w:t>
            </w:r>
          </w:p>
        </w:tc>
        <w:tc>
          <w:tcPr>
            <w:tcW w:type="dxa" w:w="504"/>
            <w:tcMar>
              <w:top w:w="35" w:type="dxa"/>
              <w:bottom w:w="35" w:type="dxa"/>
              <w:left w:w="40" w:type="dxa"/>
              <w:right w:w="40" w:type="dxa"/>
            </w:tcMar>
          </w:tcPr>
          <w:p>
            <w:pPr>
              <w:jc w:val="center"/>
            </w:pPr>
            <w:r>
              <w:rPr>
                <w:rFonts w:ascii="Times New Roman" w:hAnsi="Times New Roman"/>
                <w:color w:val="000000"/>
                <w:sz w:val="15"/>
              </w:rPr>
              <w:t>0.408</w:t>
            </w:r>
          </w:p>
        </w:tc>
        <w:tc>
          <w:tcPr>
            <w:tcW w:type="dxa" w:w="504"/>
            <w:tcMar>
              <w:top w:w="35" w:type="dxa"/>
              <w:bottom w:w="35" w:type="dxa"/>
              <w:left w:w="40" w:type="dxa"/>
              <w:right w:w="40" w:type="dxa"/>
            </w:tcMar>
          </w:tcPr>
          <w:p>
            <w:pPr>
              <w:jc w:val="center"/>
            </w:pPr>
            <w:r>
              <w:rPr>
                <w:rFonts w:ascii="Times New Roman" w:hAnsi="Times New Roman"/>
                <w:color w:val="000000"/>
                <w:sz w:val="15"/>
              </w:rPr>
              <w:t>0.879</w:t>
            </w:r>
          </w:p>
        </w:tc>
        <w:tc>
          <w:tcPr>
            <w:tcW w:type="dxa" w:w="504"/>
            <w:tcMar>
              <w:top w:w="35" w:type="dxa"/>
              <w:bottom w:w="35" w:type="dxa"/>
              <w:left w:w="40" w:type="dxa"/>
              <w:right w:w="40" w:type="dxa"/>
            </w:tcMar>
          </w:tcPr>
          <w:p>
            <w:pPr>
              <w:jc w:val="center"/>
            </w:pPr>
            <w:r>
              <w:rPr>
                <w:rFonts w:ascii="Times New Roman" w:hAnsi="Times New Roman"/>
                <w:color w:val="000000"/>
                <w:sz w:val="15"/>
              </w:rPr>
              <w:t>0.432</w:t>
            </w:r>
          </w:p>
        </w:tc>
        <w:tc>
          <w:tcPr>
            <w:tcW w:type="dxa" w:w="504"/>
            <w:tcMar>
              <w:top w:w="35" w:type="dxa"/>
              <w:bottom w:w="35" w:type="dxa"/>
              <w:left w:w="40" w:type="dxa"/>
              <w:right w:w="40" w:type="dxa"/>
            </w:tcMar>
          </w:tcPr>
          <w:p>
            <w:pPr>
              <w:jc w:val="center"/>
            </w:pPr>
            <w:r>
              <w:rPr>
                <w:rFonts w:ascii="Times New Roman" w:hAnsi="Times New Roman"/>
                <w:color w:val="000000"/>
                <w:sz w:val="15"/>
              </w:rPr>
              <w:t>0.358</w:t>
            </w:r>
          </w:p>
        </w:tc>
        <w:tc>
          <w:tcPr>
            <w:tcW w:type="dxa" w:w="504"/>
            <w:tcMar>
              <w:top w:w="35" w:type="dxa"/>
              <w:bottom w:w="35" w:type="dxa"/>
              <w:left w:w="40" w:type="dxa"/>
              <w:right w:w="40" w:type="dxa"/>
            </w:tcMar>
          </w:tcPr>
          <w:p>
            <w:pPr>
              <w:jc w:val="center"/>
            </w:pPr>
            <w:r>
              <w:rPr>
                <w:rFonts w:ascii="Times New Roman" w:hAnsi="Times New Roman"/>
                <w:color w:val="000000"/>
                <w:sz w:val="15"/>
              </w:rPr>
              <w:t>0.528</w:t>
            </w:r>
          </w:p>
        </w:tc>
      </w:tr>
      <w:tr>
        <w:tc>
          <w:tcPr>
            <w:tcW w:type="dxa" w:w="936"/>
            <w:tcMar>
              <w:top w:w="35" w:type="dxa"/>
              <w:bottom w:w="35" w:type="dxa"/>
              <w:left w:w="40" w:type="dxa"/>
              <w:right w:w="40" w:type="dxa"/>
            </w:tcMar>
          </w:tcPr>
          <w:p>
            <w:pPr>
              <w:jc w:val="left"/>
            </w:pPr>
            <w:r>
              <w:rPr>
                <w:rFonts w:ascii="Times New Roman" w:hAnsi="Times New Roman"/>
                <w:color w:val="000000"/>
                <w:sz w:val="15"/>
              </w:rPr>
              <w:t>20 min</w:t>
            </w:r>
          </w:p>
        </w:tc>
        <w:tc>
          <w:tcPr>
            <w:tcW w:type="dxa" w:w="504"/>
            <w:tcMar>
              <w:top w:w="35" w:type="dxa"/>
              <w:bottom w:w="35" w:type="dxa"/>
              <w:left w:w="40" w:type="dxa"/>
              <w:right w:w="40" w:type="dxa"/>
            </w:tcMar>
          </w:tcPr>
          <w:p>
            <w:pPr>
              <w:jc w:val="center"/>
            </w:pPr>
            <w:r>
              <w:rPr>
                <w:rFonts w:ascii="Times New Roman" w:hAnsi="Times New Roman"/>
                <w:color w:val="000000"/>
                <w:sz w:val="15"/>
              </w:rPr>
              <w:t>0.385</w:t>
            </w:r>
          </w:p>
        </w:tc>
        <w:tc>
          <w:tcPr>
            <w:tcW w:type="dxa" w:w="504"/>
            <w:tcMar>
              <w:top w:w="35" w:type="dxa"/>
              <w:bottom w:w="35" w:type="dxa"/>
              <w:left w:w="40" w:type="dxa"/>
              <w:right w:w="40" w:type="dxa"/>
            </w:tcMar>
          </w:tcPr>
          <w:p>
            <w:pPr>
              <w:jc w:val="center"/>
            </w:pPr>
            <w:r>
              <w:rPr>
                <w:rFonts w:ascii="Times New Roman" w:hAnsi="Times New Roman"/>
                <w:color w:val="000000"/>
                <w:sz w:val="15"/>
              </w:rPr>
              <w:t>0.427</w:t>
            </w:r>
          </w:p>
        </w:tc>
        <w:tc>
          <w:tcPr>
            <w:tcW w:type="dxa" w:w="504"/>
            <w:tcMar>
              <w:top w:w="35" w:type="dxa"/>
              <w:bottom w:w="35" w:type="dxa"/>
              <w:left w:w="40" w:type="dxa"/>
              <w:right w:w="40" w:type="dxa"/>
            </w:tcMar>
          </w:tcPr>
          <w:p>
            <w:pPr>
              <w:jc w:val="center"/>
            </w:pPr>
            <w:r>
              <w:rPr>
                <w:rFonts w:ascii="Times New Roman" w:hAnsi="Times New Roman"/>
                <w:color w:val="000000"/>
                <w:sz w:val="15"/>
              </w:rPr>
              <w:t>0.357</w:t>
            </w:r>
          </w:p>
        </w:tc>
        <w:tc>
          <w:tcPr>
            <w:tcW w:type="dxa" w:w="504"/>
            <w:tcMar>
              <w:top w:w="35" w:type="dxa"/>
              <w:bottom w:w="35" w:type="dxa"/>
              <w:left w:w="40" w:type="dxa"/>
              <w:right w:w="40" w:type="dxa"/>
            </w:tcMar>
          </w:tcPr>
          <w:p>
            <w:pPr>
              <w:jc w:val="center"/>
            </w:pPr>
            <w:r>
              <w:rPr>
                <w:rFonts w:ascii="Times New Roman" w:hAnsi="Times New Roman"/>
                <w:color w:val="000000"/>
                <w:sz w:val="15"/>
              </w:rPr>
              <w:t>0.837</w:t>
            </w:r>
          </w:p>
        </w:tc>
        <w:tc>
          <w:tcPr>
            <w:tcW w:type="dxa" w:w="504"/>
            <w:tcMar>
              <w:top w:w="35" w:type="dxa"/>
              <w:bottom w:w="35" w:type="dxa"/>
              <w:left w:w="40" w:type="dxa"/>
              <w:right w:w="40" w:type="dxa"/>
            </w:tcMar>
          </w:tcPr>
          <w:p>
            <w:pPr>
              <w:jc w:val="center"/>
            </w:pPr>
            <w:r>
              <w:rPr>
                <w:rFonts w:ascii="Times New Roman" w:hAnsi="Times New Roman"/>
                <w:color w:val="000000"/>
                <w:sz w:val="15"/>
              </w:rPr>
              <w:t>0.380</w:t>
            </w:r>
          </w:p>
        </w:tc>
        <w:tc>
          <w:tcPr>
            <w:tcW w:type="dxa" w:w="504"/>
            <w:tcMar>
              <w:top w:w="35" w:type="dxa"/>
              <w:bottom w:w="35" w:type="dxa"/>
              <w:left w:w="40" w:type="dxa"/>
              <w:right w:w="40" w:type="dxa"/>
            </w:tcMar>
          </w:tcPr>
          <w:p>
            <w:pPr>
              <w:jc w:val="center"/>
            </w:pPr>
            <w:r>
              <w:rPr>
                <w:rFonts w:ascii="Times New Roman" w:hAnsi="Times New Roman"/>
                <w:color w:val="000000"/>
                <w:sz w:val="15"/>
              </w:rPr>
              <w:t>0.329</w:t>
            </w:r>
          </w:p>
        </w:tc>
        <w:tc>
          <w:tcPr>
            <w:tcW w:type="dxa" w:w="504"/>
            <w:tcMar>
              <w:top w:w="35" w:type="dxa"/>
              <w:bottom w:w="35" w:type="dxa"/>
              <w:left w:w="40" w:type="dxa"/>
              <w:right w:w="40" w:type="dxa"/>
            </w:tcMar>
          </w:tcPr>
          <w:p>
            <w:pPr>
              <w:jc w:val="center"/>
            </w:pPr>
            <w:r>
              <w:rPr>
                <w:rFonts w:ascii="Times New Roman" w:hAnsi="Times New Roman"/>
                <w:color w:val="000000"/>
                <w:sz w:val="15"/>
              </w:rPr>
              <w:t>0.465</w:t>
            </w:r>
          </w:p>
        </w:tc>
      </w:tr>
      <w:tr>
        <w:tc>
          <w:tcPr>
            <w:tcW w:type="dxa" w:w="936"/>
            <w:tcMar>
              <w:top w:w="35" w:type="dxa"/>
              <w:bottom w:w="35" w:type="dxa"/>
              <w:left w:w="40" w:type="dxa"/>
              <w:right w:w="40" w:type="dxa"/>
            </w:tcMar>
          </w:tcPr>
          <w:p>
            <w:pPr>
              <w:jc w:val="left"/>
            </w:pPr>
            <w:r>
              <w:rPr>
                <w:rFonts w:ascii="Times New Roman" w:hAnsi="Times New Roman"/>
                <w:color w:val="000000"/>
                <w:sz w:val="15"/>
              </w:rPr>
              <w:t>30 min (Nom)</w:t>
            </w:r>
          </w:p>
        </w:tc>
        <w:tc>
          <w:tcPr>
            <w:tcW w:type="dxa" w:w="504"/>
            <w:tcMar>
              <w:top w:w="35" w:type="dxa"/>
              <w:bottom w:w="35" w:type="dxa"/>
              <w:left w:w="40" w:type="dxa"/>
              <w:right w:w="40" w:type="dxa"/>
            </w:tcMar>
          </w:tcPr>
          <w:p>
            <w:pPr>
              <w:jc w:val="center"/>
            </w:pPr>
            <w:r>
              <w:rPr>
                <w:rFonts w:ascii="Times New Roman" w:hAnsi="Times New Roman"/>
                <w:color w:val="000000"/>
                <w:sz w:val="15"/>
              </w:rPr>
              <w:t>0.287</w:t>
            </w:r>
          </w:p>
        </w:tc>
        <w:tc>
          <w:tcPr>
            <w:tcW w:type="dxa" w:w="504"/>
            <w:tcMar>
              <w:top w:w="35" w:type="dxa"/>
              <w:bottom w:w="35" w:type="dxa"/>
              <w:left w:w="40" w:type="dxa"/>
              <w:right w:w="40" w:type="dxa"/>
            </w:tcMar>
          </w:tcPr>
          <w:p>
            <w:pPr>
              <w:jc w:val="center"/>
            </w:pPr>
            <w:r>
              <w:rPr>
                <w:rFonts w:ascii="Times New Roman" w:hAnsi="Times New Roman"/>
                <w:color w:val="000000"/>
                <w:sz w:val="15"/>
              </w:rPr>
              <w:t>0.326</w:t>
            </w:r>
          </w:p>
        </w:tc>
        <w:tc>
          <w:tcPr>
            <w:tcW w:type="dxa" w:w="504"/>
            <w:tcMar>
              <w:top w:w="35" w:type="dxa"/>
              <w:bottom w:w="35" w:type="dxa"/>
              <w:left w:w="40" w:type="dxa"/>
              <w:right w:w="40" w:type="dxa"/>
            </w:tcMar>
          </w:tcPr>
          <w:p>
            <w:pPr>
              <w:jc w:val="center"/>
            </w:pPr>
            <w:r>
              <w:rPr>
                <w:rFonts w:ascii="Times New Roman" w:hAnsi="Times New Roman"/>
                <w:color w:val="000000"/>
                <w:sz w:val="15"/>
              </w:rPr>
              <w:t>0.248</w:t>
            </w:r>
          </w:p>
        </w:tc>
        <w:tc>
          <w:tcPr>
            <w:tcW w:type="dxa" w:w="504"/>
            <w:tcMar>
              <w:top w:w="35" w:type="dxa"/>
              <w:bottom w:w="35" w:type="dxa"/>
              <w:left w:w="40" w:type="dxa"/>
              <w:right w:w="40" w:type="dxa"/>
            </w:tcMar>
          </w:tcPr>
          <w:p>
            <w:pPr>
              <w:jc w:val="center"/>
            </w:pPr>
            <w:r>
              <w:rPr>
                <w:rFonts w:ascii="Times New Roman" w:hAnsi="Times New Roman"/>
                <w:color w:val="000000"/>
                <w:sz w:val="15"/>
              </w:rPr>
              <w:t>0.782</w:t>
            </w:r>
          </w:p>
        </w:tc>
        <w:tc>
          <w:tcPr>
            <w:tcW w:type="dxa" w:w="504"/>
            <w:tcMar>
              <w:top w:w="35" w:type="dxa"/>
              <w:bottom w:w="35" w:type="dxa"/>
              <w:left w:w="40" w:type="dxa"/>
              <w:right w:w="40" w:type="dxa"/>
            </w:tcMar>
          </w:tcPr>
          <w:p>
            <w:pPr>
              <w:jc w:val="center"/>
            </w:pPr>
            <w:r>
              <w:rPr>
                <w:rFonts w:ascii="Times New Roman" w:hAnsi="Times New Roman"/>
                <w:color w:val="000000"/>
                <w:sz w:val="15"/>
              </w:rPr>
              <w:t>0.260</w:t>
            </w:r>
          </w:p>
        </w:tc>
        <w:tc>
          <w:tcPr>
            <w:tcW w:type="dxa" w:w="504"/>
            <w:tcMar>
              <w:top w:w="35" w:type="dxa"/>
              <w:bottom w:w="35" w:type="dxa"/>
              <w:left w:w="40" w:type="dxa"/>
              <w:right w:w="40" w:type="dxa"/>
            </w:tcMar>
          </w:tcPr>
          <w:p>
            <w:pPr>
              <w:jc w:val="center"/>
            </w:pPr>
            <w:r>
              <w:rPr>
                <w:rFonts w:ascii="Times New Roman" w:hAnsi="Times New Roman"/>
                <w:color w:val="000000"/>
                <w:sz w:val="15"/>
              </w:rPr>
              <w:t>0.231</w:t>
            </w:r>
          </w:p>
        </w:tc>
        <w:tc>
          <w:tcPr>
            <w:tcW w:type="dxa" w:w="504"/>
            <w:tcMar>
              <w:top w:w="35" w:type="dxa"/>
              <w:bottom w:w="35" w:type="dxa"/>
              <w:left w:w="40" w:type="dxa"/>
              <w:right w:w="40" w:type="dxa"/>
            </w:tcMar>
          </w:tcPr>
          <w:p>
            <w:pPr>
              <w:jc w:val="center"/>
            </w:pPr>
            <w:r>
              <w:rPr>
                <w:rFonts w:ascii="Times New Roman" w:hAnsi="Times New Roman"/>
                <w:color w:val="000000"/>
                <w:sz w:val="15"/>
              </w:rPr>
              <w:t>0.381</w:t>
            </w:r>
          </w:p>
        </w:tc>
      </w:tr>
      <w:tr>
        <w:tc>
          <w:tcPr>
            <w:tcW w:type="dxa" w:w="936"/>
            <w:tcMar>
              <w:top w:w="35" w:type="dxa"/>
              <w:bottom w:w="35" w:type="dxa"/>
              <w:left w:w="40" w:type="dxa"/>
              <w:right w:w="40" w:type="dxa"/>
            </w:tcMar>
          </w:tcPr>
          <w:p>
            <w:pPr>
              <w:jc w:val="left"/>
            </w:pPr>
            <w:r>
              <w:rPr>
                <w:rFonts w:ascii="Times New Roman" w:hAnsi="Times New Roman"/>
                <w:color w:val="000000"/>
                <w:sz w:val="15"/>
              </w:rPr>
              <w:t>45 min</w:t>
            </w:r>
          </w:p>
        </w:tc>
        <w:tc>
          <w:tcPr>
            <w:tcW w:type="dxa" w:w="504"/>
            <w:tcMar>
              <w:top w:w="35" w:type="dxa"/>
              <w:bottom w:w="35" w:type="dxa"/>
              <w:left w:w="40" w:type="dxa"/>
              <w:right w:w="40" w:type="dxa"/>
            </w:tcMar>
          </w:tcPr>
          <w:p>
            <w:pPr>
              <w:jc w:val="center"/>
            </w:pPr>
            <w:r>
              <w:rPr>
                <w:rFonts w:ascii="Times New Roman" w:hAnsi="Times New Roman"/>
                <w:color w:val="000000"/>
                <w:sz w:val="15"/>
              </w:rPr>
              <w:t>0.300</w:t>
            </w:r>
          </w:p>
        </w:tc>
        <w:tc>
          <w:tcPr>
            <w:tcW w:type="dxa" w:w="504"/>
            <w:tcMar>
              <w:top w:w="35" w:type="dxa"/>
              <w:bottom w:w="35" w:type="dxa"/>
              <w:left w:w="40" w:type="dxa"/>
              <w:right w:w="40" w:type="dxa"/>
            </w:tcMar>
          </w:tcPr>
          <w:p>
            <w:pPr>
              <w:jc w:val="center"/>
            </w:pPr>
            <w:r>
              <w:rPr>
                <w:rFonts w:ascii="Times New Roman" w:hAnsi="Times New Roman"/>
                <w:color w:val="000000"/>
                <w:sz w:val="15"/>
              </w:rPr>
              <w:t>0.314</w:t>
            </w:r>
          </w:p>
        </w:tc>
        <w:tc>
          <w:tcPr>
            <w:tcW w:type="dxa" w:w="504"/>
            <w:tcMar>
              <w:top w:w="35" w:type="dxa"/>
              <w:bottom w:w="35" w:type="dxa"/>
              <w:left w:w="40" w:type="dxa"/>
              <w:right w:w="40" w:type="dxa"/>
            </w:tcMar>
          </w:tcPr>
          <w:p>
            <w:pPr>
              <w:jc w:val="center"/>
            </w:pPr>
            <w:r>
              <w:rPr>
                <w:rFonts w:ascii="Times New Roman" w:hAnsi="Times New Roman"/>
                <w:color w:val="000000"/>
                <w:sz w:val="15"/>
              </w:rPr>
              <w:t>0.246</w:t>
            </w:r>
          </w:p>
        </w:tc>
        <w:tc>
          <w:tcPr>
            <w:tcW w:type="dxa" w:w="504"/>
            <w:tcMar>
              <w:top w:w="35" w:type="dxa"/>
              <w:bottom w:w="35" w:type="dxa"/>
              <w:left w:w="40" w:type="dxa"/>
              <w:right w:w="40" w:type="dxa"/>
            </w:tcMar>
          </w:tcPr>
          <w:p>
            <w:pPr>
              <w:jc w:val="center"/>
            </w:pPr>
            <w:r>
              <w:rPr>
                <w:rFonts w:ascii="Times New Roman" w:hAnsi="Times New Roman"/>
                <w:color w:val="000000"/>
                <w:sz w:val="15"/>
              </w:rPr>
              <w:t>0.782</w:t>
            </w:r>
          </w:p>
        </w:tc>
        <w:tc>
          <w:tcPr>
            <w:tcW w:type="dxa" w:w="504"/>
            <w:tcMar>
              <w:top w:w="35" w:type="dxa"/>
              <w:bottom w:w="35" w:type="dxa"/>
              <w:left w:w="40" w:type="dxa"/>
              <w:right w:w="40" w:type="dxa"/>
            </w:tcMar>
          </w:tcPr>
          <w:p>
            <w:pPr>
              <w:jc w:val="center"/>
            </w:pPr>
            <w:r>
              <w:rPr>
                <w:rFonts w:ascii="Times New Roman" w:hAnsi="Times New Roman"/>
                <w:color w:val="000000"/>
                <w:sz w:val="15"/>
              </w:rPr>
              <w:t>0.271</w:t>
            </w:r>
          </w:p>
        </w:tc>
        <w:tc>
          <w:tcPr>
            <w:tcW w:type="dxa" w:w="504"/>
            <w:tcMar>
              <w:top w:w="35" w:type="dxa"/>
              <w:bottom w:w="35" w:type="dxa"/>
              <w:left w:w="40" w:type="dxa"/>
              <w:right w:w="40" w:type="dxa"/>
            </w:tcMar>
          </w:tcPr>
          <w:p>
            <w:pPr>
              <w:jc w:val="center"/>
            </w:pPr>
            <w:r>
              <w:rPr>
                <w:rFonts w:ascii="Times New Roman" w:hAnsi="Times New Roman"/>
                <w:color w:val="000000"/>
                <w:sz w:val="15"/>
              </w:rPr>
              <w:t>0.244</w:t>
            </w:r>
          </w:p>
        </w:tc>
        <w:tc>
          <w:tcPr>
            <w:tcW w:type="dxa" w:w="504"/>
            <w:tcMar>
              <w:top w:w="35" w:type="dxa"/>
              <w:bottom w:w="35" w:type="dxa"/>
              <w:left w:w="40" w:type="dxa"/>
              <w:right w:w="40" w:type="dxa"/>
            </w:tcMar>
          </w:tcPr>
          <w:p>
            <w:pPr>
              <w:jc w:val="center"/>
            </w:pPr>
            <w:r>
              <w:rPr>
                <w:rFonts w:ascii="Times New Roman" w:hAnsi="Times New Roman"/>
                <w:color w:val="000000"/>
                <w:sz w:val="15"/>
              </w:rPr>
              <w:t>0.389</w:t>
            </w:r>
          </w:p>
        </w:tc>
      </w:tr>
      <w:tr>
        <w:tc>
          <w:tcPr>
            <w:tcW w:type="dxa" w:w="936"/>
            <w:tcMar>
              <w:top w:w="35" w:type="dxa"/>
              <w:bottom w:w="35" w:type="dxa"/>
              <w:left w:w="40" w:type="dxa"/>
              <w:right w:w="40" w:type="dxa"/>
            </w:tcMar>
          </w:tcPr>
          <w:p>
            <w:pPr>
              <w:jc w:val="left"/>
            </w:pPr>
            <w:r>
              <w:rPr>
                <w:rFonts w:ascii="Times New Roman" w:hAnsi="Times New Roman"/>
                <w:color w:val="000000"/>
                <w:sz w:val="15"/>
              </w:rPr>
              <w:t>60 min</w:t>
            </w:r>
          </w:p>
        </w:tc>
        <w:tc>
          <w:tcPr>
            <w:tcW w:type="dxa" w:w="504"/>
            <w:tcMar>
              <w:top w:w="35" w:type="dxa"/>
              <w:bottom w:w="35" w:type="dxa"/>
              <w:left w:w="40" w:type="dxa"/>
              <w:right w:w="40" w:type="dxa"/>
            </w:tcMar>
          </w:tcPr>
          <w:p>
            <w:pPr>
              <w:jc w:val="center"/>
            </w:pPr>
            <w:r>
              <w:rPr>
                <w:rFonts w:ascii="Times New Roman" w:hAnsi="Times New Roman"/>
                <w:color w:val="000000"/>
                <w:sz w:val="15"/>
              </w:rPr>
              <w:t>0.312</w:t>
            </w:r>
          </w:p>
        </w:tc>
        <w:tc>
          <w:tcPr>
            <w:tcW w:type="dxa" w:w="504"/>
            <w:tcMar>
              <w:top w:w="35" w:type="dxa"/>
              <w:bottom w:w="35" w:type="dxa"/>
              <w:left w:w="40" w:type="dxa"/>
              <w:right w:w="40" w:type="dxa"/>
            </w:tcMar>
          </w:tcPr>
          <w:p>
            <w:pPr>
              <w:jc w:val="center"/>
            </w:pPr>
            <w:r>
              <w:rPr>
                <w:rFonts w:ascii="Times New Roman" w:hAnsi="Times New Roman"/>
                <w:color w:val="000000"/>
                <w:sz w:val="15"/>
              </w:rPr>
              <w:t>0.288</w:t>
            </w:r>
          </w:p>
        </w:tc>
        <w:tc>
          <w:tcPr>
            <w:tcW w:type="dxa" w:w="504"/>
            <w:tcMar>
              <w:top w:w="35" w:type="dxa"/>
              <w:bottom w:w="35" w:type="dxa"/>
              <w:left w:w="40" w:type="dxa"/>
              <w:right w:w="40" w:type="dxa"/>
            </w:tcMar>
          </w:tcPr>
          <w:p>
            <w:pPr>
              <w:jc w:val="center"/>
            </w:pPr>
            <w:r>
              <w:rPr>
                <w:rFonts w:ascii="Times New Roman" w:hAnsi="Times New Roman"/>
                <w:color w:val="000000"/>
                <w:sz w:val="15"/>
              </w:rPr>
              <w:t>0.249</w:t>
            </w:r>
          </w:p>
        </w:tc>
        <w:tc>
          <w:tcPr>
            <w:tcW w:type="dxa" w:w="504"/>
            <w:tcMar>
              <w:top w:w="35" w:type="dxa"/>
              <w:bottom w:w="35" w:type="dxa"/>
              <w:left w:w="40" w:type="dxa"/>
              <w:right w:w="40" w:type="dxa"/>
            </w:tcMar>
          </w:tcPr>
          <w:p>
            <w:pPr>
              <w:jc w:val="center"/>
            </w:pPr>
            <w:r>
              <w:rPr>
                <w:rFonts w:ascii="Times New Roman" w:hAnsi="Times New Roman"/>
                <w:color w:val="000000"/>
                <w:sz w:val="15"/>
              </w:rPr>
              <w:t>0.790</w:t>
            </w:r>
          </w:p>
        </w:tc>
        <w:tc>
          <w:tcPr>
            <w:tcW w:type="dxa" w:w="504"/>
            <w:tcMar>
              <w:top w:w="35" w:type="dxa"/>
              <w:bottom w:w="35" w:type="dxa"/>
              <w:left w:w="40" w:type="dxa"/>
              <w:right w:w="40" w:type="dxa"/>
            </w:tcMar>
          </w:tcPr>
          <w:p>
            <w:pPr>
              <w:jc w:val="center"/>
            </w:pPr>
            <w:r>
              <w:rPr>
                <w:rFonts w:ascii="Times New Roman" w:hAnsi="Times New Roman"/>
                <w:color w:val="000000"/>
                <w:sz w:val="15"/>
              </w:rPr>
              <w:t>0.290</w:t>
            </w:r>
          </w:p>
        </w:tc>
        <w:tc>
          <w:tcPr>
            <w:tcW w:type="dxa" w:w="504"/>
            <w:tcMar>
              <w:top w:w="35" w:type="dxa"/>
              <w:bottom w:w="35" w:type="dxa"/>
              <w:left w:w="40" w:type="dxa"/>
              <w:right w:w="40" w:type="dxa"/>
            </w:tcMar>
          </w:tcPr>
          <w:p>
            <w:pPr>
              <w:jc w:val="center"/>
            </w:pPr>
            <w:r>
              <w:rPr>
                <w:rFonts w:ascii="Times New Roman" w:hAnsi="Times New Roman"/>
                <w:color w:val="000000"/>
                <w:sz w:val="15"/>
              </w:rPr>
              <w:t>0.272</w:t>
            </w:r>
          </w:p>
        </w:tc>
        <w:tc>
          <w:tcPr>
            <w:tcW w:type="dxa" w:w="504"/>
            <w:tcMar>
              <w:top w:w="35" w:type="dxa"/>
              <w:bottom w:w="35" w:type="dxa"/>
              <w:left w:w="40" w:type="dxa"/>
              <w:right w:w="40" w:type="dxa"/>
            </w:tcMar>
          </w:tcPr>
          <w:p>
            <w:pPr>
              <w:jc w:val="center"/>
            </w:pPr>
            <w:r>
              <w:rPr>
                <w:rFonts w:ascii="Times New Roman" w:hAnsi="Times New Roman"/>
                <w:color w:val="000000"/>
                <w:sz w:val="15"/>
              </w:rPr>
              <w:t>0.366</w:t>
            </w:r>
          </w:p>
        </w:tc>
      </w:tr>
    </w:tbl>
    <w:p>
      <w:pPr>
        <w:spacing w:after="120"/>
      </w:pPr>
    </w:p>
    <w:p>
      <w:pPr>
        <w:spacing w:before="120" w:after="40"/>
        <w:jc w:val="center"/>
      </w:pPr>
      <w:r>
        <w:drawing>
          <wp:inline xmlns:a="http://schemas.openxmlformats.org/drawingml/2006/main" xmlns:pic="http://schemas.openxmlformats.org/drawingml/2006/picture">
            <wp:extent cx="2880360" cy="1830305"/>
            <wp:docPr id="4" name="Picture 4"/>
            <wp:cNvGraphicFramePr>
              <a:graphicFrameLocks noChangeAspect="1"/>
            </wp:cNvGraphicFramePr>
            <a:graphic>
              <a:graphicData uri="http://schemas.openxmlformats.org/drawingml/2006/picture">
                <pic:pic>
                  <pic:nvPicPr>
                    <pic:cNvPr id="0" name="fig5_horizon_ablation.png"/>
                    <pic:cNvPicPr/>
                  </pic:nvPicPr>
                  <pic:blipFill>
                    <a:blip r:embed="rId12"/>
                    <a:stretch>
                      <a:fillRect/>
                    </a:stretch>
                  </pic:blipFill>
                  <pic:spPr>
                    <a:xfrm>
                      <a:off x="0" y="0"/>
                      <a:ext cx="2880360" cy="1830305"/>
                    </a:xfrm>
                    <a:prstGeom prst="rect"/>
                  </pic:spPr>
                </pic:pic>
              </a:graphicData>
            </a:graphic>
          </wp:inline>
        </w:drawing>
      </w:r>
    </w:p>
    <w:p>
      <w:pPr>
        <w:spacing w:after="160" w:line="252" w:lineRule="auto"/>
        <w:jc w:val="both"/>
      </w:pPr>
      <w:r>
        <w:rPr>
          <w:rFonts w:ascii="Times New Roman" w:hAnsi="Times New Roman"/>
          <w:color w:val="222222"/>
          <w:sz w:val="17"/>
        </w:rPr>
        <w:t>Fig. 4. Forecast horizon sensitivity curve demonstrating monotonic skill decay with lead time.</w:t>
      </w:r>
    </w:p>
    <w:p>
      <w:pPr>
        <w:keepNext/>
        <w:spacing w:before="140" w:after="60"/>
        <w:jc w:val="left"/>
      </w:pPr>
      <w:r>
        <w:rPr>
          <w:rFonts w:ascii="Times New Roman" w:hAnsi="Times New Roman"/>
          <w:b/>
          <w:i/>
          <w:color w:val="000000"/>
          <w:sz w:val="20"/>
        </w:rPr>
        <w:t>E. TreeSHAP Attribution Analysis</w:t>
      </w:r>
    </w:p>
    <w:p>
      <w:pPr>
        <w:spacing w:after="80" w:line="252" w:lineRule="auto"/>
        <w:ind w:firstLine="259"/>
        <w:jc w:val="both"/>
      </w:pPr>
      <w:r>
        <w:rPr>
          <w:rFonts w:ascii="Times New Roman" w:hAnsi="Times New Roman"/>
          <w:color w:val="000000"/>
          <w:sz w:val="19"/>
        </w:rPr>
        <w:t>TreeSHAP analysis computed over N = 5,000 holdout instances reveals domain contributions: SoLEXS soft X-ray precursors account for 48.6%, Cross-Sensor Spectral Interactions account for 31.2%, Payload Stability accounts for 11.8%, and HEL1OS hard X-rays account for 8.4%. As detailed in Table IV and Figs. 5 and 6, the top individual predictor is solexs_roc_5m (21.8%), followed immediately by h_s_ratio (19.1%).</w:t>
      </w:r>
    </w:p>
    <w:p>
      <w:pPr>
        <w:keepNext/>
        <w:spacing w:before="120" w:after="60"/>
        <w:jc w:val="center"/>
      </w:pPr>
      <w:r>
        <w:rPr>
          <w:rFonts w:ascii="Times New Roman" w:hAnsi="Times New Roman"/>
          <w:b/>
          <w:color w:val="000000"/>
          <w:sz w:val="17"/>
        </w:rPr>
        <w:t>TABLE IV</w:t>
        <w:br/>
        <w:t>TOP-10 FEATURES BY MEAN ABSOLUTE TREESHAP ATTRIBUTION</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632"/>
        <w:gridCol w:w="1632"/>
        <w:gridCol w:w="1632"/>
        <w:gridCol w:w="1632"/>
        <w:gridCol w:w="1632"/>
        <w:gridCol w:w="1632"/>
      </w:tblGrid>
      <w:tr>
        <w:tc>
          <w:tcPr>
            <w:tcW w:type="dxa" w:w="432"/>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Rank</w:t>
            </w:r>
          </w:p>
        </w:tc>
        <w:tc>
          <w:tcPr>
            <w:tcW w:type="dxa" w:w="1152"/>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Feature Name</w:t>
            </w:r>
          </w:p>
        </w:tc>
        <w:tc>
          <w:tcPr>
            <w:tcW w:type="dxa" w:w="720"/>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Domain</w:t>
            </w:r>
          </w:p>
        </w:tc>
        <w:tc>
          <w:tcPr>
            <w:tcW w:type="dxa" w:w="605"/>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|SHAP|</w:t>
            </w:r>
          </w:p>
        </w:tc>
        <w:tc>
          <w:tcPr>
            <w:tcW w:type="dxa" w:w="547"/>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Mass</w:t>
            </w:r>
          </w:p>
        </w:tc>
        <w:tc>
          <w:tcPr>
            <w:tcW w:type="dxa" w:w="1224"/>
            <w:tcBorders>
              <w:bottom w:val="single" w:sz="6" w:space="0" w:color="000000"/>
            </w:tcBorders>
            <w:tcMar>
              <w:top w:w="50" w:type="dxa"/>
              <w:bottom w:w="50" w:type="dxa"/>
              <w:left w:w="40" w:type="dxa"/>
              <w:right w:w="40" w:type="dxa"/>
            </w:tcMar>
          </w:tcPr>
          <w:p>
            <w:pPr>
              <w:jc w:val="center"/>
            </w:pPr>
            <w:r>
              <w:rPr>
                <w:rFonts w:ascii="Times New Roman" w:hAnsi="Times New Roman"/>
                <w:b/>
                <w:color w:val="000000"/>
                <w:sz w:val="15"/>
              </w:rPr>
              <w:t>Physical Role</w:t>
            </w:r>
          </w:p>
        </w:tc>
      </w:tr>
      <w:tr>
        <w:tc>
          <w:tcPr>
            <w:tcW w:type="dxa" w:w="432"/>
            <w:tcMar>
              <w:top w:w="35" w:type="dxa"/>
              <w:bottom w:w="35" w:type="dxa"/>
              <w:left w:w="40" w:type="dxa"/>
              <w:right w:w="40" w:type="dxa"/>
            </w:tcMar>
          </w:tcPr>
          <w:p>
            <w:pPr>
              <w:jc w:val="left"/>
            </w:pPr>
            <w:r>
              <w:rPr>
                <w:rFonts w:ascii="Times New Roman" w:hAnsi="Times New Roman"/>
                <w:color w:val="000000"/>
                <w:sz w:val="15"/>
              </w:rPr>
              <w:t>1</w:t>
            </w:r>
          </w:p>
        </w:tc>
        <w:tc>
          <w:tcPr>
            <w:tcW w:type="dxa" w:w="1152"/>
            <w:tcMar>
              <w:top w:w="35" w:type="dxa"/>
              <w:bottom w:w="35" w:type="dxa"/>
              <w:left w:w="40" w:type="dxa"/>
              <w:right w:w="40" w:type="dxa"/>
            </w:tcMar>
          </w:tcPr>
          <w:p>
            <w:pPr>
              <w:jc w:val="center"/>
            </w:pPr>
            <w:r>
              <w:rPr>
                <w:rFonts w:ascii="Times New Roman" w:hAnsi="Times New Roman"/>
                <w:color w:val="000000"/>
                <w:sz w:val="15"/>
              </w:rPr>
              <w:t>solexs_roc_5m</w:t>
            </w:r>
          </w:p>
        </w:tc>
        <w:tc>
          <w:tcPr>
            <w:tcW w:type="dxa" w:w="720"/>
            <w:tcMar>
              <w:top w:w="35" w:type="dxa"/>
              <w:bottom w:w="35" w:type="dxa"/>
              <w:left w:w="40" w:type="dxa"/>
              <w:right w:w="40" w:type="dxa"/>
            </w:tcMar>
          </w:tcPr>
          <w:p>
            <w:pPr>
              <w:jc w:val="center"/>
            </w:pPr>
            <w:r>
              <w:rPr>
                <w:rFonts w:ascii="Times New Roman" w:hAnsi="Times New Roman"/>
                <w:color w:val="000000"/>
                <w:sz w:val="15"/>
              </w:rPr>
              <w:t>SoLEXS</w:t>
            </w:r>
          </w:p>
        </w:tc>
        <w:tc>
          <w:tcPr>
            <w:tcW w:type="dxa" w:w="605"/>
            <w:tcMar>
              <w:top w:w="35" w:type="dxa"/>
              <w:bottom w:w="35" w:type="dxa"/>
              <w:left w:w="40" w:type="dxa"/>
              <w:right w:w="40" w:type="dxa"/>
            </w:tcMar>
          </w:tcPr>
          <w:p>
            <w:pPr>
              <w:jc w:val="center"/>
            </w:pPr>
            <w:r>
              <w:rPr>
                <w:rFonts w:ascii="Times New Roman" w:hAnsi="Times New Roman"/>
                <w:color w:val="000000"/>
                <w:sz w:val="15"/>
              </w:rPr>
              <w:t>0.6335</w:t>
            </w:r>
          </w:p>
        </w:tc>
        <w:tc>
          <w:tcPr>
            <w:tcW w:type="dxa" w:w="547"/>
            <w:tcMar>
              <w:top w:w="35" w:type="dxa"/>
              <w:bottom w:w="35" w:type="dxa"/>
              <w:left w:w="40" w:type="dxa"/>
              <w:right w:w="40" w:type="dxa"/>
            </w:tcMar>
          </w:tcPr>
          <w:p>
            <w:pPr>
              <w:jc w:val="center"/>
            </w:pPr>
            <w:r>
              <w:rPr>
                <w:rFonts w:ascii="Times New Roman" w:hAnsi="Times New Roman"/>
                <w:color w:val="000000"/>
                <w:sz w:val="15"/>
              </w:rPr>
              <w:t>21.8%</w:t>
            </w:r>
          </w:p>
        </w:tc>
        <w:tc>
          <w:tcPr>
            <w:tcW w:type="dxa" w:w="1224"/>
            <w:tcMar>
              <w:top w:w="35" w:type="dxa"/>
              <w:bottom w:w="35" w:type="dxa"/>
              <w:left w:w="40" w:type="dxa"/>
              <w:right w:w="40" w:type="dxa"/>
            </w:tcMar>
          </w:tcPr>
          <w:p>
            <w:pPr>
              <w:jc w:val="left"/>
            </w:pPr>
            <w:r>
              <w:rPr>
                <w:rFonts w:ascii="Times New Roman" w:hAnsi="Times New Roman"/>
                <w:color w:val="000000"/>
                <w:sz w:val="15"/>
              </w:rPr>
              <w:t>Thermal pre-heating velocity</w:t>
            </w:r>
          </w:p>
        </w:tc>
      </w:tr>
      <w:tr>
        <w:tc>
          <w:tcPr>
            <w:tcW w:type="dxa" w:w="432"/>
            <w:tcMar>
              <w:top w:w="35" w:type="dxa"/>
              <w:bottom w:w="35" w:type="dxa"/>
              <w:left w:w="40" w:type="dxa"/>
              <w:right w:w="40" w:type="dxa"/>
            </w:tcMar>
          </w:tcPr>
          <w:p>
            <w:pPr>
              <w:jc w:val="left"/>
            </w:pPr>
            <w:r>
              <w:rPr>
                <w:rFonts w:ascii="Times New Roman" w:hAnsi="Times New Roman"/>
                <w:color w:val="000000"/>
                <w:sz w:val="15"/>
              </w:rPr>
              <w:t>2</w:t>
            </w:r>
          </w:p>
        </w:tc>
        <w:tc>
          <w:tcPr>
            <w:tcW w:type="dxa" w:w="1152"/>
            <w:tcMar>
              <w:top w:w="35" w:type="dxa"/>
              <w:bottom w:w="35" w:type="dxa"/>
              <w:left w:w="40" w:type="dxa"/>
              <w:right w:w="40" w:type="dxa"/>
            </w:tcMar>
          </w:tcPr>
          <w:p>
            <w:pPr>
              <w:jc w:val="center"/>
            </w:pPr>
            <w:r>
              <w:rPr>
                <w:rFonts w:ascii="Times New Roman" w:hAnsi="Times New Roman"/>
                <w:color w:val="000000"/>
                <w:sz w:val="15"/>
              </w:rPr>
              <w:t>h_s_ratio</w:t>
            </w:r>
          </w:p>
        </w:tc>
        <w:tc>
          <w:tcPr>
            <w:tcW w:type="dxa" w:w="720"/>
            <w:tcMar>
              <w:top w:w="35" w:type="dxa"/>
              <w:bottom w:w="35" w:type="dxa"/>
              <w:left w:w="40" w:type="dxa"/>
              <w:right w:w="40" w:type="dxa"/>
            </w:tcMar>
          </w:tcPr>
          <w:p>
            <w:pPr>
              <w:jc w:val="center"/>
            </w:pPr>
            <w:r>
              <w:rPr>
                <w:rFonts w:ascii="Times New Roman" w:hAnsi="Times New Roman"/>
                <w:color w:val="000000"/>
                <w:sz w:val="15"/>
              </w:rPr>
              <w:t>Cross-Sensor</w:t>
            </w:r>
          </w:p>
        </w:tc>
        <w:tc>
          <w:tcPr>
            <w:tcW w:type="dxa" w:w="605"/>
            <w:tcMar>
              <w:top w:w="35" w:type="dxa"/>
              <w:bottom w:w="35" w:type="dxa"/>
              <w:left w:w="40" w:type="dxa"/>
              <w:right w:w="40" w:type="dxa"/>
            </w:tcMar>
          </w:tcPr>
          <w:p>
            <w:pPr>
              <w:jc w:val="center"/>
            </w:pPr>
            <w:r>
              <w:rPr>
                <w:rFonts w:ascii="Times New Roman" w:hAnsi="Times New Roman"/>
                <w:color w:val="000000"/>
                <w:sz w:val="15"/>
              </w:rPr>
              <w:t>0.5559</w:t>
            </w:r>
          </w:p>
        </w:tc>
        <w:tc>
          <w:tcPr>
            <w:tcW w:type="dxa" w:w="547"/>
            <w:tcMar>
              <w:top w:w="35" w:type="dxa"/>
              <w:bottom w:w="35" w:type="dxa"/>
              <w:left w:w="40" w:type="dxa"/>
              <w:right w:w="40" w:type="dxa"/>
            </w:tcMar>
          </w:tcPr>
          <w:p>
            <w:pPr>
              <w:jc w:val="center"/>
            </w:pPr>
            <w:r>
              <w:rPr>
                <w:rFonts w:ascii="Times New Roman" w:hAnsi="Times New Roman"/>
                <w:color w:val="000000"/>
                <w:sz w:val="15"/>
              </w:rPr>
              <w:t>19.1%</w:t>
            </w:r>
          </w:p>
        </w:tc>
        <w:tc>
          <w:tcPr>
            <w:tcW w:type="dxa" w:w="1224"/>
            <w:tcMar>
              <w:top w:w="35" w:type="dxa"/>
              <w:bottom w:w="35" w:type="dxa"/>
              <w:left w:w="40" w:type="dxa"/>
              <w:right w:w="40" w:type="dxa"/>
            </w:tcMar>
          </w:tcPr>
          <w:p>
            <w:pPr>
              <w:jc w:val="left"/>
            </w:pPr>
            <w:r>
              <w:rPr>
                <w:rFonts w:ascii="Times New Roman" w:hAnsi="Times New Roman"/>
                <w:color w:val="000000"/>
                <w:sz w:val="15"/>
              </w:rPr>
              <w:t>Hard-to-soft hardness ratio</w:t>
            </w:r>
          </w:p>
        </w:tc>
      </w:tr>
      <w:tr>
        <w:tc>
          <w:tcPr>
            <w:tcW w:type="dxa" w:w="432"/>
            <w:tcMar>
              <w:top w:w="35" w:type="dxa"/>
              <w:bottom w:w="35" w:type="dxa"/>
              <w:left w:w="40" w:type="dxa"/>
              <w:right w:w="40" w:type="dxa"/>
            </w:tcMar>
          </w:tcPr>
          <w:p>
            <w:pPr>
              <w:jc w:val="left"/>
            </w:pPr>
            <w:r>
              <w:rPr>
                <w:rFonts w:ascii="Times New Roman" w:hAnsi="Times New Roman"/>
                <w:color w:val="000000"/>
                <w:sz w:val="15"/>
              </w:rPr>
              <w:t>3</w:t>
            </w:r>
          </w:p>
        </w:tc>
        <w:tc>
          <w:tcPr>
            <w:tcW w:type="dxa" w:w="1152"/>
            <w:tcMar>
              <w:top w:w="35" w:type="dxa"/>
              <w:bottom w:w="35" w:type="dxa"/>
              <w:left w:w="40" w:type="dxa"/>
              <w:right w:w="40" w:type="dxa"/>
            </w:tcMar>
          </w:tcPr>
          <w:p>
            <w:pPr>
              <w:jc w:val="center"/>
            </w:pPr>
            <w:r>
              <w:rPr>
                <w:rFonts w:ascii="Times New Roman" w:hAnsi="Times New Roman"/>
                <w:color w:val="000000"/>
                <w:sz w:val="15"/>
              </w:rPr>
              <w:t>solexs_zscore</w:t>
            </w:r>
          </w:p>
        </w:tc>
        <w:tc>
          <w:tcPr>
            <w:tcW w:type="dxa" w:w="720"/>
            <w:tcMar>
              <w:top w:w="35" w:type="dxa"/>
              <w:bottom w:w="35" w:type="dxa"/>
              <w:left w:w="40" w:type="dxa"/>
              <w:right w:w="40" w:type="dxa"/>
            </w:tcMar>
          </w:tcPr>
          <w:p>
            <w:pPr>
              <w:jc w:val="center"/>
            </w:pPr>
            <w:r>
              <w:rPr>
                <w:rFonts w:ascii="Times New Roman" w:hAnsi="Times New Roman"/>
                <w:color w:val="000000"/>
                <w:sz w:val="15"/>
              </w:rPr>
              <w:t>SoLEXS</w:t>
            </w:r>
          </w:p>
        </w:tc>
        <w:tc>
          <w:tcPr>
            <w:tcW w:type="dxa" w:w="605"/>
            <w:tcMar>
              <w:top w:w="35" w:type="dxa"/>
              <w:bottom w:w="35" w:type="dxa"/>
              <w:left w:w="40" w:type="dxa"/>
              <w:right w:w="40" w:type="dxa"/>
            </w:tcMar>
          </w:tcPr>
          <w:p>
            <w:pPr>
              <w:jc w:val="center"/>
            </w:pPr>
            <w:r>
              <w:rPr>
                <w:rFonts w:ascii="Times New Roman" w:hAnsi="Times New Roman"/>
                <w:color w:val="000000"/>
                <w:sz w:val="15"/>
              </w:rPr>
              <w:t>0.3079</w:t>
            </w:r>
          </w:p>
        </w:tc>
        <w:tc>
          <w:tcPr>
            <w:tcW w:type="dxa" w:w="547"/>
            <w:tcMar>
              <w:top w:w="35" w:type="dxa"/>
              <w:bottom w:w="35" w:type="dxa"/>
              <w:left w:w="40" w:type="dxa"/>
              <w:right w:w="40" w:type="dxa"/>
            </w:tcMar>
          </w:tcPr>
          <w:p>
            <w:pPr>
              <w:jc w:val="center"/>
            </w:pPr>
            <w:r>
              <w:rPr>
                <w:rFonts w:ascii="Times New Roman" w:hAnsi="Times New Roman"/>
                <w:color w:val="000000"/>
                <w:sz w:val="15"/>
              </w:rPr>
              <w:t>10.6%</w:t>
            </w:r>
          </w:p>
        </w:tc>
        <w:tc>
          <w:tcPr>
            <w:tcW w:type="dxa" w:w="1224"/>
            <w:tcMar>
              <w:top w:w="35" w:type="dxa"/>
              <w:bottom w:w="35" w:type="dxa"/>
              <w:left w:w="40" w:type="dxa"/>
              <w:right w:w="40" w:type="dxa"/>
            </w:tcMar>
          </w:tcPr>
          <w:p>
            <w:pPr>
              <w:jc w:val="left"/>
            </w:pPr>
            <w:r>
              <w:rPr>
                <w:rFonts w:ascii="Times New Roman" w:hAnsi="Times New Roman"/>
                <w:color w:val="000000"/>
                <w:sz w:val="15"/>
              </w:rPr>
              <w:t>90-min baseline departure</w:t>
            </w:r>
          </w:p>
        </w:tc>
      </w:tr>
      <w:tr>
        <w:tc>
          <w:tcPr>
            <w:tcW w:type="dxa" w:w="432"/>
            <w:tcMar>
              <w:top w:w="35" w:type="dxa"/>
              <w:bottom w:w="35" w:type="dxa"/>
              <w:left w:w="40" w:type="dxa"/>
              <w:right w:w="40" w:type="dxa"/>
            </w:tcMar>
          </w:tcPr>
          <w:p>
            <w:pPr>
              <w:jc w:val="left"/>
            </w:pPr>
            <w:r>
              <w:rPr>
                <w:rFonts w:ascii="Times New Roman" w:hAnsi="Times New Roman"/>
                <w:color w:val="000000"/>
                <w:sz w:val="15"/>
              </w:rPr>
              <w:t>4</w:t>
            </w:r>
          </w:p>
        </w:tc>
        <w:tc>
          <w:tcPr>
            <w:tcW w:type="dxa" w:w="1152"/>
            <w:tcMar>
              <w:top w:w="35" w:type="dxa"/>
              <w:bottom w:w="35" w:type="dxa"/>
              <w:left w:w="40" w:type="dxa"/>
              <w:right w:w="40" w:type="dxa"/>
            </w:tcMar>
          </w:tcPr>
          <w:p>
            <w:pPr>
              <w:jc w:val="left"/>
            </w:pPr>
            <w:r>
              <w:rPr>
                <w:rFonts w:ascii="Times New Roman" w:hAnsi="Times New Roman"/>
                <w:color w:val="000000"/>
                <w:sz w:val="15"/>
              </w:rPr>
              <w:t>energy_partition_idx</w:t>
            </w:r>
          </w:p>
        </w:tc>
        <w:tc>
          <w:tcPr>
            <w:tcW w:type="dxa" w:w="720"/>
            <w:tcMar>
              <w:top w:w="35" w:type="dxa"/>
              <w:bottom w:w="35" w:type="dxa"/>
              <w:left w:w="40" w:type="dxa"/>
              <w:right w:w="40" w:type="dxa"/>
            </w:tcMar>
          </w:tcPr>
          <w:p>
            <w:pPr>
              <w:jc w:val="center"/>
            </w:pPr>
            <w:r>
              <w:rPr>
                <w:rFonts w:ascii="Times New Roman" w:hAnsi="Times New Roman"/>
                <w:color w:val="000000"/>
                <w:sz w:val="15"/>
              </w:rPr>
              <w:t>Cross-Sensor</w:t>
            </w:r>
          </w:p>
        </w:tc>
        <w:tc>
          <w:tcPr>
            <w:tcW w:type="dxa" w:w="605"/>
            <w:tcMar>
              <w:top w:w="35" w:type="dxa"/>
              <w:bottom w:w="35" w:type="dxa"/>
              <w:left w:w="40" w:type="dxa"/>
              <w:right w:w="40" w:type="dxa"/>
            </w:tcMar>
          </w:tcPr>
          <w:p>
            <w:pPr>
              <w:jc w:val="center"/>
            </w:pPr>
            <w:r>
              <w:rPr>
                <w:rFonts w:ascii="Times New Roman" w:hAnsi="Times New Roman"/>
                <w:color w:val="000000"/>
                <w:sz w:val="15"/>
              </w:rPr>
              <w:t>0.2674</w:t>
            </w:r>
          </w:p>
        </w:tc>
        <w:tc>
          <w:tcPr>
            <w:tcW w:type="dxa" w:w="547"/>
            <w:tcMar>
              <w:top w:w="35" w:type="dxa"/>
              <w:bottom w:w="35" w:type="dxa"/>
              <w:left w:w="40" w:type="dxa"/>
              <w:right w:w="40" w:type="dxa"/>
            </w:tcMar>
          </w:tcPr>
          <w:p>
            <w:pPr>
              <w:jc w:val="center"/>
            </w:pPr>
            <w:r>
              <w:rPr>
                <w:rFonts w:ascii="Times New Roman" w:hAnsi="Times New Roman"/>
                <w:color w:val="000000"/>
                <w:sz w:val="15"/>
              </w:rPr>
              <w:t>9.2%</w:t>
            </w:r>
          </w:p>
        </w:tc>
        <w:tc>
          <w:tcPr>
            <w:tcW w:type="dxa" w:w="1224"/>
            <w:tcMar>
              <w:top w:w="35" w:type="dxa"/>
              <w:bottom w:w="35" w:type="dxa"/>
              <w:left w:w="40" w:type="dxa"/>
              <w:right w:w="40" w:type="dxa"/>
            </w:tcMar>
          </w:tcPr>
          <w:p>
            <w:pPr>
              <w:jc w:val="left"/>
            </w:pPr>
            <w:r>
              <w:rPr>
                <w:rFonts w:ascii="Times New Roman" w:hAnsi="Times New Roman"/>
                <w:color w:val="000000"/>
                <w:sz w:val="15"/>
              </w:rPr>
              <w:t>Non-thermal energy partition</w:t>
            </w:r>
          </w:p>
        </w:tc>
      </w:tr>
      <w:tr>
        <w:tc>
          <w:tcPr>
            <w:tcW w:type="dxa" w:w="432"/>
            <w:tcMar>
              <w:top w:w="35" w:type="dxa"/>
              <w:bottom w:w="35" w:type="dxa"/>
              <w:left w:w="40" w:type="dxa"/>
              <w:right w:w="40" w:type="dxa"/>
            </w:tcMar>
          </w:tcPr>
          <w:p>
            <w:pPr>
              <w:jc w:val="left"/>
            </w:pPr>
            <w:r>
              <w:rPr>
                <w:rFonts w:ascii="Times New Roman" w:hAnsi="Times New Roman"/>
                <w:color w:val="000000"/>
                <w:sz w:val="15"/>
              </w:rPr>
              <w:t>5</w:t>
            </w:r>
          </w:p>
        </w:tc>
        <w:tc>
          <w:tcPr>
            <w:tcW w:type="dxa" w:w="1152"/>
            <w:tcMar>
              <w:top w:w="35" w:type="dxa"/>
              <w:bottom w:w="35" w:type="dxa"/>
              <w:left w:w="40" w:type="dxa"/>
              <w:right w:w="40" w:type="dxa"/>
            </w:tcMar>
          </w:tcPr>
          <w:p>
            <w:pPr>
              <w:jc w:val="center"/>
            </w:pPr>
            <w:r>
              <w:rPr>
                <w:rFonts w:ascii="Times New Roman" w:hAnsi="Times New Roman"/>
                <w:color w:val="000000"/>
                <w:sz w:val="15"/>
              </w:rPr>
              <w:t>flux_zscore</w:t>
            </w:r>
          </w:p>
        </w:tc>
        <w:tc>
          <w:tcPr>
            <w:tcW w:type="dxa" w:w="720"/>
            <w:tcMar>
              <w:top w:w="35" w:type="dxa"/>
              <w:bottom w:w="35" w:type="dxa"/>
              <w:left w:w="40" w:type="dxa"/>
              <w:right w:w="40" w:type="dxa"/>
            </w:tcMar>
          </w:tcPr>
          <w:p>
            <w:pPr>
              <w:jc w:val="center"/>
            </w:pPr>
            <w:r>
              <w:rPr>
                <w:rFonts w:ascii="Times New Roman" w:hAnsi="Times New Roman"/>
                <w:color w:val="000000"/>
                <w:sz w:val="15"/>
              </w:rPr>
              <w:t>Ensemble</w:t>
            </w:r>
          </w:p>
        </w:tc>
        <w:tc>
          <w:tcPr>
            <w:tcW w:type="dxa" w:w="605"/>
            <w:tcMar>
              <w:top w:w="35" w:type="dxa"/>
              <w:bottom w:w="35" w:type="dxa"/>
              <w:left w:w="40" w:type="dxa"/>
              <w:right w:w="40" w:type="dxa"/>
            </w:tcMar>
          </w:tcPr>
          <w:p>
            <w:pPr>
              <w:jc w:val="center"/>
            </w:pPr>
            <w:r>
              <w:rPr>
                <w:rFonts w:ascii="Times New Roman" w:hAnsi="Times New Roman"/>
                <w:color w:val="000000"/>
                <w:sz w:val="15"/>
              </w:rPr>
              <w:t>0.1772</w:t>
            </w:r>
          </w:p>
        </w:tc>
        <w:tc>
          <w:tcPr>
            <w:tcW w:type="dxa" w:w="547"/>
            <w:tcMar>
              <w:top w:w="35" w:type="dxa"/>
              <w:bottom w:w="35" w:type="dxa"/>
              <w:left w:w="40" w:type="dxa"/>
              <w:right w:w="40" w:type="dxa"/>
            </w:tcMar>
          </w:tcPr>
          <w:p>
            <w:pPr>
              <w:jc w:val="center"/>
            </w:pPr>
            <w:r>
              <w:rPr>
                <w:rFonts w:ascii="Times New Roman" w:hAnsi="Times New Roman"/>
                <w:color w:val="000000"/>
                <w:sz w:val="15"/>
              </w:rPr>
              <w:t>6.1%</w:t>
            </w:r>
          </w:p>
        </w:tc>
        <w:tc>
          <w:tcPr>
            <w:tcW w:type="dxa" w:w="1224"/>
            <w:tcMar>
              <w:top w:w="35" w:type="dxa"/>
              <w:bottom w:w="35" w:type="dxa"/>
              <w:left w:w="40" w:type="dxa"/>
              <w:right w:w="40" w:type="dxa"/>
            </w:tcMar>
          </w:tcPr>
          <w:p>
            <w:pPr>
              <w:jc w:val="left"/>
            </w:pPr>
            <w:r>
              <w:rPr>
                <w:rFonts w:ascii="Times New Roman" w:hAnsi="Times New Roman"/>
                <w:color w:val="000000"/>
                <w:sz w:val="15"/>
              </w:rPr>
              <w:t>Global payload baseline departure</w:t>
            </w:r>
          </w:p>
        </w:tc>
      </w:tr>
      <w:tr>
        <w:tc>
          <w:tcPr>
            <w:tcW w:type="dxa" w:w="432"/>
            <w:tcMar>
              <w:top w:w="35" w:type="dxa"/>
              <w:bottom w:w="35" w:type="dxa"/>
              <w:left w:w="40" w:type="dxa"/>
              <w:right w:w="40" w:type="dxa"/>
            </w:tcMar>
          </w:tcPr>
          <w:p>
            <w:pPr>
              <w:jc w:val="left"/>
            </w:pPr>
            <w:r>
              <w:rPr>
                <w:rFonts w:ascii="Times New Roman" w:hAnsi="Times New Roman"/>
                <w:color w:val="000000"/>
                <w:sz w:val="15"/>
              </w:rPr>
              <w:t>6</w:t>
            </w:r>
          </w:p>
        </w:tc>
        <w:tc>
          <w:tcPr>
            <w:tcW w:type="dxa" w:w="1152"/>
            <w:tcMar>
              <w:top w:w="35" w:type="dxa"/>
              <w:bottom w:w="35" w:type="dxa"/>
              <w:left w:w="40" w:type="dxa"/>
              <w:right w:w="40" w:type="dxa"/>
            </w:tcMar>
          </w:tcPr>
          <w:p>
            <w:pPr>
              <w:jc w:val="center"/>
            </w:pPr>
            <w:r>
              <w:rPr>
                <w:rFonts w:ascii="Times New Roman" w:hAnsi="Times New Roman"/>
                <w:color w:val="000000"/>
                <w:sz w:val="15"/>
              </w:rPr>
              <w:t>solexs_roc_15m</w:t>
            </w:r>
          </w:p>
        </w:tc>
        <w:tc>
          <w:tcPr>
            <w:tcW w:type="dxa" w:w="720"/>
            <w:tcMar>
              <w:top w:w="35" w:type="dxa"/>
              <w:bottom w:w="35" w:type="dxa"/>
              <w:left w:w="40" w:type="dxa"/>
              <w:right w:w="40" w:type="dxa"/>
            </w:tcMar>
          </w:tcPr>
          <w:p>
            <w:pPr>
              <w:jc w:val="center"/>
            </w:pPr>
            <w:r>
              <w:rPr>
                <w:rFonts w:ascii="Times New Roman" w:hAnsi="Times New Roman"/>
                <w:color w:val="000000"/>
                <w:sz w:val="15"/>
              </w:rPr>
              <w:t>SoLEXS</w:t>
            </w:r>
          </w:p>
        </w:tc>
        <w:tc>
          <w:tcPr>
            <w:tcW w:type="dxa" w:w="605"/>
            <w:tcMar>
              <w:top w:w="35" w:type="dxa"/>
              <w:bottom w:w="35" w:type="dxa"/>
              <w:left w:w="40" w:type="dxa"/>
              <w:right w:w="40" w:type="dxa"/>
            </w:tcMar>
          </w:tcPr>
          <w:p>
            <w:pPr>
              <w:jc w:val="center"/>
            </w:pPr>
            <w:r>
              <w:rPr>
                <w:rFonts w:ascii="Times New Roman" w:hAnsi="Times New Roman"/>
                <w:color w:val="000000"/>
                <w:sz w:val="15"/>
              </w:rPr>
              <w:t>0.1644</w:t>
            </w:r>
          </w:p>
        </w:tc>
        <w:tc>
          <w:tcPr>
            <w:tcW w:type="dxa" w:w="547"/>
            <w:tcMar>
              <w:top w:w="35" w:type="dxa"/>
              <w:bottom w:w="35" w:type="dxa"/>
              <w:left w:w="40" w:type="dxa"/>
              <w:right w:w="40" w:type="dxa"/>
            </w:tcMar>
          </w:tcPr>
          <w:p>
            <w:pPr>
              <w:jc w:val="center"/>
            </w:pPr>
            <w:r>
              <w:rPr>
                <w:rFonts w:ascii="Times New Roman" w:hAnsi="Times New Roman"/>
                <w:color w:val="000000"/>
                <w:sz w:val="15"/>
              </w:rPr>
              <w:t>5.7%</w:t>
            </w:r>
          </w:p>
        </w:tc>
        <w:tc>
          <w:tcPr>
            <w:tcW w:type="dxa" w:w="1224"/>
            <w:tcMar>
              <w:top w:w="35" w:type="dxa"/>
              <w:bottom w:w="35" w:type="dxa"/>
              <w:left w:w="40" w:type="dxa"/>
              <w:right w:w="40" w:type="dxa"/>
            </w:tcMar>
          </w:tcPr>
          <w:p>
            <w:pPr>
              <w:jc w:val="left"/>
            </w:pPr>
            <w:r>
              <w:rPr>
                <w:rFonts w:ascii="Times New Roman" w:hAnsi="Times New Roman"/>
                <w:color w:val="000000"/>
                <w:sz w:val="15"/>
              </w:rPr>
              <w:t>Medium-term thermal momentum</w:t>
            </w:r>
          </w:p>
        </w:tc>
      </w:tr>
      <w:tr>
        <w:tc>
          <w:tcPr>
            <w:tcW w:type="dxa" w:w="432"/>
            <w:tcMar>
              <w:top w:w="35" w:type="dxa"/>
              <w:bottom w:w="35" w:type="dxa"/>
              <w:left w:w="40" w:type="dxa"/>
              <w:right w:w="40" w:type="dxa"/>
            </w:tcMar>
          </w:tcPr>
          <w:p>
            <w:pPr>
              <w:jc w:val="left"/>
            </w:pPr>
            <w:r>
              <w:rPr>
                <w:rFonts w:ascii="Times New Roman" w:hAnsi="Times New Roman"/>
                <w:color w:val="000000"/>
                <w:sz w:val="15"/>
              </w:rPr>
              <w:t>7</w:t>
            </w:r>
          </w:p>
        </w:tc>
        <w:tc>
          <w:tcPr>
            <w:tcW w:type="dxa" w:w="1152"/>
            <w:tcMar>
              <w:top w:w="35" w:type="dxa"/>
              <w:bottom w:w="35" w:type="dxa"/>
              <w:left w:w="40" w:type="dxa"/>
              <w:right w:w="40" w:type="dxa"/>
            </w:tcMar>
          </w:tcPr>
          <w:p>
            <w:pPr>
              <w:jc w:val="left"/>
            </w:pPr>
            <w:r>
              <w:rPr>
                <w:rFonts w:ascii="Times New Roman" w:hAnsi="Times New Roman"/>
                <w:color w:val="000000"/>
                <w:sz w:val="15"/>
              </w:rPr>
              <w:t>solexs_ewma_diff</w:t>
            </w:r>
          </w:p>
        </w:tc>
        <w:tc>
          <w:tcPr>
            <w:tcW w:type="dxa" w:w="720"/>
            <w:tcMar>
              <w:top w:w="35" w:type="dxa"/>
              <w:bottom w:w="35" w:type="dxa"/>
              <w:left w:w="40" w:type="dxa"/>
              <w:right w:w="40" w:type="dxa"/>
            </w:tcMar>
          </w:tcPr>
          <w:p>
            <w:pPr>
              <w:jc w:val="center"/>
            </w:pPr>
            <w:r>
              <w:rPr>
                <w:rFonts w:ascii="Times New Roman" w:hAnsi="Times New Roman"/>
                <w:color w:val="000000"/>
                <w:sz w:val="15"/>
              </w:rPr>
              <w:t>SoLEXS</w:t>
            </w:r>
          </w:p>
        </w:tc>
        <w:tc>
          <w:tcPr>
            <w:tcW w:type="dxa" w:w="605"/>
            <w:tcMar>
              <w:top w:w="35" w:type="dxa"/>
              <w:bottom w:w="35" w:type="dxa"/>
              <w:left w:w="40" w:type="dxa"/>
              <w:right w:w="40" w:type="dxa"/>
            </w:tcMar>
          </w:tcPr>
          <w:p>
            <w:pPr>
              <w:jc w:val="center"/>
            </w:pPr>
            <w:r>
              <w:rPr>
                <w:rFonts w:ascii="Times New Roman" w:hAnsi="Times New Roman"/>
                <w:color w:val="000000"/>
                <w:sz w:val="15"/>
              </w:rPr>
              <w:t>0.0972</w:t>
            </w:r>
          </w:p>
        </w:tc>
        <w:tc>
          <w:tcPr>
            <w:tcW w:type="dxa" w:w="547"/>
            <w:tcMar>
              <w:top w:w="35" w:type="dxa"/>
              <w:bottom w:w="35" w:type="dxa"/>
              <w:left w:w="40" w:type="dxa"/>
              <w:right w:w="40" w:type="dxa"/>
            </w:tcMar>
          </w:tcPr>
          <w:p>
            <w:pPr>
              <w:jc w:val="center"/>
            </w:pPr>
            <w:r>
              <w:rPr>
                <w:rFonts w:ascii="Times New Roman" w:hAnsi="Times New Roman"/>
                <w:color w:val="000000"/>
                <w:sz w:val="15"/>
              </w:rPr>
              <w:t>3.3%</w:t>
            </w:r>
          </w:p>
        </w:tc>
        <w:tc>
          <w:tcPr>
            <w:tcW w:type="dxa" w:w="1224"/>
            <w:tcMar>
              <w:top w:w="35" w:type="dxa"/>
              <w:bottom w:w="35" w:type="dxa"/>
              <w:left w:w="40" w:type="dxa"/>
              <w:right w:w="40" w:type="dxa"/>
            </w:tcMar>
          </w:tcPr>
          <w:p>
            <w:pPr>
              <w:jc w:val="left"/>
            </w:pPr>
            <w:r>
              <w:rPr>
                <w:rFonts w:ascii="Times New Roman" w:hAnsi="Times New Roman"/>
                <w:color w:val="000000"/>
                <w:sz w:val="15"/>
              </w:rPr>
              <w:t>Moving average divergence</w:t>
            </w:r>
          </w:p>
        </w:tc>
      </w:tr>
      <w:tr>
        <w:tc>
          <w:tcPr>
            <w:tcW w:type="dxa" w:w="432"/>
            <w:tcMar>
              <w:top w:w="35" w:type="dxa"/>
              <w:bottom w:w="35" w:type="dxa"/>
              <w:left w:w="40" w:type="dxa"/>
              <w:right w:w="40" w:type="dxa"/>
            </w:tcMar>
          </w:tcPr>
          <w:p>
            <w:pPr>
              <w:jc w:val="left"/>
            </w:pPr>
            <w:r>
              <w:rPr>
                <w:rFonts w:ascii="Times New Roman" w:hAnsi="Times New Roman"/>
                <w:color w:val="000000"/>
                <w:sz w:val="15"/>
              </w:rPr>
              <w:t>8</w:t>
            </w:r>
          </w:p>
        </w:tc>
        <w:tc>
          <w:tcPr>
            <w:tcW w:type="dxa" w:w="1152"/>
            <w:tcMar>
              <w:top w:w="35" w:type="dxa"/>
              <w:bottom w:w="35" w:type="dxa"/>
              <w:left w:w="40" w:type="dxa"/>
              <w:right w:w="40" w:type="dxa"/>
            </w:tcMar>
          </w:tcPr>
          <w:p>
            <w:pPr>
              <w:jc w:val="center"/>
            </w:pPr>
            <w:r>
              <w:rPr>
                <w:rFonts w:ascii="Times New Roman" w:hAnsi="Times New Roman"/>
                <w:color w:val="000000"/>
                <w:sz w:val="15"/>
              </w:rPr>
              <w:t>solexs_roc_30m</w:t>
            </w:r>
          </w:p>
        </w:tc>
        <w:tc>
          <w:tcPr>
            <w:tcW w:type="dxa" w:w="720"/>
            <w:tcMar>
              <w:top w:w="35" w:type="dxa"/>
              <w:bottom w:w="35" w:type="dxa"/>
              <w:left w:w="40" w:type="dxa"/>
              <w:right w:w="40" w:type="dxa"/>
            </w:tcMar>
          </w:tcPr>
          <w:p>
            <w:pPr>
              <w:jc w:val="center"/>
            </w:pPr>
            <w:r>
              <w:rPr>
                <w:rFonts w:ascii="Times New Roman" w:hAnsi="Times New Roman"/>
                <w:color w:val="000000"/>
                <w:sz w:val="15"/>
              </w:rPr>
              <w:t>SoLEXS</w:t>
            </w:r>
          </w:p>
        </w:tc>
        <w:tc>
          <w:tcPr>
            <w:tcW w:type="dxa" w:w="605"/>
            <w:tcMar>
              <w:top w:w="35" w:type="dxa"/>
              <w:bottom w:w="35" w:type="dxa"/>
              <w:left w:w="40" w:type="dxa"/>
              <w:right w:w="40" w:type="dxa"/>
            </w:tcMar>
          </w:tcPr>
          <w:p>
            <w:pPr>
              <w:jc w:val="center"/>
            </w:pPr>
            <w:r>
              <w:rPr>
                <w:rFonts w:ascii="Times New Roman" w:hAnsi="Times New Roman"/>
                <w:color w:val="000000"/>
                <w:sz w:val="15"/>
              </w:rPr>
              <w:t>0.0937</w:t>
            </w:r>
          </w:p>
        </w:tc>
        <w:tc>
          <w:tcPr>
            <w:tcW w:type="dxa" w:w="547"/>
            <w:tcMar>
              <w:top w:w="35" w:type="dxa"/>
              <w:bottom w:w="35" w:type="dxa"/>
              <w:left w:w="40" w:type="dxa"/>
              <w:right w:w="40" w:type="dxa"/>
            </w:tcMar>
          </w:tcPr>
          <w:p>
            <w:pPr>
              <w:jc w:val="center"/>
            </w:pPr>
            <w:r>
              <w:rPr>
                <w:rFonts w:ascii="Times New Roman" w:hAnsi="Times New Roman"/>
                <w:color w:val="000000"/>
                <w:sz w:val="15"/>
              </w:rPr>
              <w:t>3.2%</w:t>
            </w:r>
          </w:p>
        </w:tc>
        <w:tc>
          <w:tcPr>
            <w:tcW w:type="dxa" w:w="1224"/>
            <w:tcMar>
              <w:top w:w="35" w:type="dxa"/>
              <w:bottom w:w="35" w:type="dxa"/>
              <w:left w:w="40" w:type="dxa"/>
              <w:right w:w="40" w:type="dxa"/>
            </w:tcMar>
          </w:tcPr>
          <w:p>
            <w:pPr>
              <w:jc w:val="left"/>
            </w:pPr>
            <w:r>
              <w:rPr>
                <w:rFonts w:ascii="Times New Roman" w:hAnsi="Times New Roman"/>
                <w:color w:val="000000"/>
                <w:sz w:val="15"/>
              </w:rPr>
              <w:t>Long-window drift indicator</w:t>
            </w:r>
          </w:p>
        </w:tc>
      </w:tr>
      <w:tr>
        <w:tc>
          <w:tcPr>
            <w:tcW w:type="dxa" w:w="432"/>
            <w:tcMar>
              <w:top w:w="35" w:type="dxa"/>
              <w:bottom w:w="35" w:type="dxa"/>
              <w:left w:w="40" w:type="dxa"/>
              <w:right w:w="40" w:type="dxa"/>
            </w:tcMar>
          </w:tcPr>
          <w:p>
            <w:pPr>
              <w:jc w:val="left"/>
            </w:pPr>
            <w:r>
              <w:rPr>
                <w:rFonts w:ascii="Times New Roman" w:hAnsi="Times New Roman"/>
                <w:color w:val="000000"/>
                <w:sz w:val="15"/>
              </w:rPr>
              <w:t>9</w:t>
            </w:r>
          </w:p>
        </w:tc>
        <w:tc>
          <w:tcPr>
            <w:tcW w:type="dxa" w:w="1152"/>
            <w:tcMar>
              <w:top w:w="35" w:type="dxa"/>
              <w:bottom w:w="35" w:type="dxa"/>
              <w:left w:w="40" w:type="dxa"/>
              <w:right w:w="40" w:type="dxa"/>
            </w:tcMar>
          </w:tcPr>
          <w:p>
            <w:pPr>
              <w:jc w:val="center"/>
            </w:pPr>
            <w:r>
              <w:rPr>
                <w:rFonts w:ascii="Times New Roman" w:hAnsi="Times New Roman"/>
                <w:color w:val="000000"/>
                <w:sz w:val="15"/>
              </w:rPr>
              <w:t>h_s_ratio_roc</w:t>
            </w:r>
          </w:p>
        </w:tc>
        <w:tc>
          <w:tcPr>
            <w:tcW w:type="dxa" w:w="720"/>
            <w:tcMar>
              <w:top w:w="35" w:type="dxa"/>
              <w:bottom w:w="35" w:type="dxa"/>
              <w:left w:w="40" w:type="dxa"/>
              <w:right w:w="40" w:type="dxa"/>
            </w:tcMar>
          </w:tcPr>
          <w:p>
            <w:pPr>
              <w:jc w:val="center"/>
            </w:pPr>
            <w:r>
              <w:rPr>
                <w:rFonts w:ascii="Times New Roman" w:hAnsi="Times New Roman"/>
                <w:color w:val="000000"/>
                <w:sz w:val="15"/>
              </w:rPr>
              <w:t>Cross-Sensor</w:t>
            </w:r>
          </w:p>
        </w:tc>
        <w:tc>
          <w:tcPr>
            <w:tcW w:type="dxa" w:w="605"/>
            <w:tcMar>
              <w:top w:w="35" w:type="dxa"/>
              <w:bottom w:w="35" w:type="dxa"/>
              <w:left w:w="40" w:type="dxa"/>
              <w:right w:w="40" w:type="dxa"/>
            </w:tcMar>
          </w:tcPr>
          <w:p>
            <w:pPr>
              <w:jc w:val="center"/>
            </w:pPr>
            <w:r>
              <w:rPr>
                <w:rFonts w:ascii="Times New Roman" w:hAnsi="Times New Roman"/>
                <w:color w:val="000000"/>
                <w:sz w:val="15"/>
              </w:rPr>
              <w:t>0.0839</w:t>
            </w:r>
          </w:p>
        </w:tc>
        <w:tc>
          <w:tcPr>
            <w:tcW w:type="dxa" w:w="547"/>
            <w:tcMar>
              <w:top w:w="35" w:type="dxa"/>
              <w:bottom w:w="35" w:type="dxa"/>
              <w:left w:w="40" w:type="dxa"/>
              <w:right w:w="40" w:type="dxa"/>
            </w:tcMar>
          </w:tcPr>
          <w:p>
            <w:pPr>
              <w:jc w:val="center"/>
            </w:pPr>
            <w:r>
              <w:rPr>
                <w:rFonts w:ascii="Times New Roman" w:hAnsi="Times New Roman"/>
                <w:color w:val="000000"/>
                <w:sz w:val="15"/>
              </w:rPr>
              <w:t>2.9%</w:t>
            </w:r>
          </w:p>
        </w:tc>
        <w:tc>
          <w:tcPr>
            <w:tcW w:type="dxa" w:w="1224"/>
            <w:tcMar>
              <w:top w:w="35" w:type="dxa"/>
              <w:bottom w:w="35" w:type="dxa"/>
              <w:left w:w="40" w:type="dxa"/>
              <w:right w:w="40" w:type="dxa"/>
            </w:tcMar>
          </w:tcPr>
          <w:p>
            <w:pPr>
              <w:jc w:val="left"/>
            </w:pPr>
            <w:r>
              <w:rPr>
                <w:rFonts w:ascii="Times New Roman" w:hAnsi="Times New Roman"/>
                <w:color w:val="000000"/>
                <w:sz w:val="15"/>
              </w:rPr>
              <w:t>Rate of spectral hardening</w:t>
            </w:r>
          </w:p>
        </w:tc>
      </w:tr>
      <w:tr>
        <w:tc>
          <w:tcPr>
            <w:tcW w:type="dxa" w:w="432"/>
            <w:tcMar>
              <w:top w:w="35" w:type="dxa"/>
              <w:bottom w:w="35" w:type="dxa"/>
              <w:left w:w="40" w:type="dxa"/>
              <w:right w:w="40" w:type="dxa"/>
            </w:tcMar>
          </w:tcPr>
          <w:p>
            <w:pPr>
              <w:jc w:val="left"/>
            </w:pPr>
            <w:r>
              <w:rPr>
                <w:rFonts w:ascii="Times New Roman" w:hAnsi="Times New Roman"/>
                <w:color w:val="000000"/>
                <w:sz w:val="15"/>
              </w:rPr>
              <w:t>10</w:t>
            </w:r>
          </w:p>
        </w:tc>
        <w:tc>
          <w:tcPr>
            <w:tcW w:type="dxa" w:w="1152"/>
            <w:tcMar>
              <w:top w:w="35" w:type="dxa"/>
              <w:bottom w:w="35" w:type="dxa"/>
              <w:left w:w="40" w:type="dxa"/>
              <w:right w:w="40" w:type="dxa"/>
            </w:tcMar>
          </w:tcPr>
          <w:p>
            <w:pPr>
              <w:jc w:val="center"/>
            </w:pPr>
            <w:r>
              <w:rPr>
                <w:rFonts w:ascii="Times New Roman" w:hAnsi="Times New Roman"/>
                <w:color w:val="000000"/>
                <w:sz w:val="15"/>
              </w:rPr>
              <w:t>hel1os_zscore</w:t>
            </w:r>
          </w:p>
        </w:tc>
        <w:tc>
          <w:tcPr>
            <w:tcW w:type="dxa" w:w="720"/>
            <w:tcMar>
              <w:top w:w="35" w:type="dxa"/>
              <w:bottom w:w="35" w:type="dxa"/>
              <w:left w:w="40" w:type="dxa"/>
              <w:right w:w="40" w:type="dxa"/>
            </w:tcMar>
          </w:tcPr>
          <w:p>
            <w:pPr>
              <w:jc w:val="center"/>
            </w:pPr>
            <w:r>
              <w:rPr>
                <w:rFonts w:ascii="Times New Roman" w:hAnsi="Times New Roman"/>
                <w:color w:val="000000"/>
                <w:sz w:val="15"/>
              </w:rPr>
              <w:t>HEL1OS</w:t>
            </w:r>
          </w:p>
        </w:tc>
        <w:tc>
          <w:tcPr>
            <w:tcW w:type="dxa" w:w="605"/>
            <w:tcMar>
              <w:top w:w="35" w:type="dxa"/>
              <w:bottom w:w="35" w:type="dxa"/>
              <w:left w:w="40" w:type="dxa"/>
              <w:right w:w="40" w:type="dxa"/>
            </w:tcMar>
          </w:tcPr>
          <w:p>
            <w:pPr>
              <w:jc w:val="center"/>
            </w:pPr>
            <w:r>
              <w:rPr>
                <w:rFonts w:ascii="Times New Roman" w:hAnsi="Times New Roman"/>
                <w:color w:val="000000"/>
                <w:sz w:val="15"/>
              </w:rPr>
              <w:t>0.0819</w:t>
            </w:r>
          </w:p>
        </w:tc>
        <w:tc>
          <w:tcPr>
            <w:tcW w:type="dxa" w:w="547"/>
            <w:tcMar>
              <w:top w:w="35" w:type="dxa"/>
              <w:bottom w:w="35" w:type="dxa"/>
              <w:left w:w="40" w:type="dxa"/>
              <w:right w:w="40" w:type="dxa"/>
            </w:tcMar>
          </w:tcPr>
          <w:p>
            <w:pPr>
              <w:jc w:val="center"/>
            </w:pPr>
            <w:r>
              <w:rPr>
                <w:rFonts w:ascii="Times New Roman" w:hAnsi="Times New Roman"/>
                <w:color w:val="000000"/>
                <w:sz w:val="15"/>
              </w:rPr>
              <w:t>2.8%</w:t>
            </w:r>
          </w:p>
        </w:tc>
        <w:tc>
          <w:tcPr>
            <w:tcW w:type="dxa" w:w="1224"/>
            <w:tcMar>
              <w:top w:w="35" w:type="dxa"/>
              <w:bottom w:w="35" w:type="dxa"/>
              <w:left w:w="40" w:type="dxa"/>
              <w:right w:w="40" w:type="dxa"/>
            </w:tcMar>
          </w:tcPr>
          <w:p>
            <w:pPr>
              <w:jc w:val="left"/>
            </w:pPr>
            <w:r>
              <w:rPr>
                <w:rFonts w:ascii="Times New Roman" w:hAnsi="Times New Roman"/>
                <w:color w:val="000000"/>
                <w:sz w:val="15"/>
              </w:rPr>
              <w:t>Hard X-ray count anomaly</w:t>
            </w:r>
          </w:p>
        </w:tc>
      </w:tr>
    </w:tbl>
    <w:p>
      <w:pPr>
        <w:spacing w:after="120"/>
      </w:pPr>
    </w:p>
    <w:p>
      <w:pPr>
        <w:spacing w:before="120" w:after="40"/>
        <w:jc w:val="center"/>
      </w:pPr>
      <w:r>
        <w:drawing>
          <wp:inline xmlns:a="http://schemas.openxmlformats.org/drawingml/2006/main" xmlns:pic="http://schemas.openxmlformats.org/drawingml/2006/picture">
            <wp:extent cx="2880360" cy="2715375"/>
            <wp:docPr id="5" name="Picture 5"/>
            <wp:cNvGraphicFramePr>
              <a:graphicFrameLocks noChangeAspect="1"/>
            </wp:cNvGraphicFramePr>
            <a:graphic>
              <a:graphicData uri="http://schemas.openxmlformats.org/drawingml/2006/picture">
                <pic:pic>
                  <pic:nvPicPr>
                    <pic:cNvPr id="0" name="fig3_feature_importance.png"/>
                    <pic:cNvPicPr/>
                  </pic:nvPicPr>
                  <pic:blipFill>
                    <a:blip r:embed="rId13"/>
                    <a:stretch>
                      <a:fillRect/>
                    </a:stretch>
                  </pic:blipFill>
                  <pic:spPr>
                    <a:xfrm>
                      <a:off x="0" y="0"/>
                      <a:ext cx="2880360" cy="2715375"/>
                    </a:xfrm>
                    <a:prstGeom prst="rect"/>
                  </pic:spPr>
                </pic:pic>
              </a:graphicData>
            </a:graphic>
          </wp:inline>
        </w:drawing>
      </w:r>
    </w:p>
    <w:p>
      <w:pPr>
        <w:spacing w:after="160" w:line="252" w:lineRule="auto"/>
        <w:jc w:val="both"/>
      </w:pPr>
      <w:r>
        <w:rPr>
          <w:rFonts w:ascii="Times New Roman" w:hAnsi="Times New Roman"/>
          <w:color w:val="222222"/>
          <w:sz w:val="17"/>
        </w:rPr>
        <w:t>Fig. 5. TreeSHAP feature attribution bar chart grouped by physical domain.</w:t>
      </w:r>
    </w:p>
    <w:p>
      <w:pPr>
        <w:spacing w:before="120" w:after="40"/>
        <w:jc w:val="center"/>
      </w:pPr>
      <w:r>
        <w:drawing>
          <wp:inline xmlns:a="http://schemas.openxmlformats.org/drawingml/2006/main" xmlns:pic="http://schemas.openxmlformats.org/drawingml/2006/picture">
            <wp:extent cx="2880360" cy="2562346"/>
            <wp:docPr id="6" name="Picture 6"/>
            <wp:cNvGraphicFramePr>
              <a:graphicFrameLocks noChangeAspect="1"/>
            </wp:cNvGraphicFramePr>
            <a:graphic>
              <a:graphicData uri="http://schemas.openxmlformats.org/drawingml/2006/picture">
                <pic:pic>
                  <pic:nvPicPr>
                    <pic:cNvPr id="0" name="shap_summary.png"/>
                    <pic:cNvPicPr/>
                  </pic:nvPicPr>
                  <pic:blipFill>
                    <a:blip r:embed="rId14"/>
                    <a:stretch>
                      <a:fillRect/>
                    </a:stretch>
                  </pic:blipFill>
                  <pic:spPr>
                    <a:xfrm>
                      <a:off x="0" y="0"/>
                      <a:ext cx="2880360" cy="2562346"/>
                    </a:xfrm>
                    <a:prstGeom prst="rect"/>
                  </pic:spPr>
                </pic:pic>
              </a:graphicData>
            </a:graphic>
          </wp:inline>
        </w:drawing>
      </w:r>
    </w:p>
    <w:p>
      <w:pPr>
        <w:spacing w:after="160" w:line="252" w:lineRule="auto"/>
        <w:jc w:val="both"/>
      </w:pPr>
      <w:r>
        <w:rPr>
          <w:rFonts w:ascii="Times New Roman" w:hAnsi="Times New Roman"/>
          <w:color w:val="222222"/>
          <w:sz w:val="17"/>
        </w:rPr>
        <w:t>Fig. 6. TreeSHAP beeswarm density plot illustrating positive vs. negative impact directionality on flare prediction log-odds.</w:t>
      </w:r>
    </w:p>
    <w:p>
      <w:pPr>
        <w:keepNext/>
        <w:spacing w:before="140" w:after="60"/>
        <w:jc w:val="left"/>
      </w:pPr>
      <w:r>
        <w:rPr>
          <w:rFonts w:ascii="Times New Roman" w:hAnsi="Times New Roman"/>
          <w:b/>
          <w:i/>
          <w:color w:val="000000"/>
          <w:sz w:val="20"/>
        </w:rPr>
        <w:t>F. Full-Mission Operational Backtest</w:t>
      </w:r>
    </w:p>
    <w:p>
      <w:pPr>
        <w:spacing w:after="80" w:line="252" w:lineRule="auto"/>
        <w:ind w:firstLine="259"/>
        <w:jc w:val="both"/>
      </w:pPr>
      <w:r>
        <w:rPr>
          <w:rFonts w:ascii="Times New Roman" w:hAnsi="Times New Roman"/>
          <w:color w:val="000000"/>
          <w:sz w:val="19"/>
        </w:rPr>
        <w:t>Evaluated continuously across all 76,784 telemetry minutes from February 2024 to July 2026, Solar Sentinel achieved 95.7% accuracy, successfully capturing 1,528 true positive alert minutes with 71,933 true quiet minutes correctly silent (Fig. 7). Operational false alarms average approximately 1 alert per 24 hours of continuous monitoring.</w:t>
      </w:r>
    </w:p>
    <w:p>
      <w:pPr>
        <w:spacing w:before="120" w:after="40"/>
        <w:jc w:val="center"/>
      </w:pPr>
      <w:r>
        <w:drawing>
          <wp:inline xmlns:a="http://schemas.openxmlformats.org/drawingml/2006/main" xmlns:pic="http://schemas.openxmlformats.org/drawingml/2006/picture">
            <wp:extent cx="2880360" cy="1766712"/>
            <wp:docPr id="7" name="Picture 7"/>
            <wp:cNvGraphicFramePr>
              <a:graphicFrameLocks noChangeAspect="1"/>
            </wp:cNvGraphicFramePr>
            <a:graphic>
              <a:graphicData uri="http://schemas.openxmlformats.org/drawingml/2006/picture">
                <pic:pic>
                  <pic:nvPicPr>
                    <pic:cNvPr id="0" name="fig6_operational_timeline.png"/>
                    <pic:cNvPicPr/>
                  </pic:nvPicPr>
                  <pic:blipFill>
                    <a:blip r:embed="rId15"/>
                    <a:stretch>
                      <a:fillRect/>
                    </a:stretch>
                  </pic:blipFill>
                  <pic:spPr>
                    <a:xfrm>
                      <a:off x="0" y="0"/>
                      <a:ext cx="2880360" cy="1766712"/>
                    </a:xfrm>
                    <a:prstGeom prst="rect"/>
                  </pic:spPr>
                </pic:pic>
              </a:graphicData>
            </a:graphic>
          </wp:inline>
        </w:drawing>
      </w:r>
    </w:p>
    <w:p>
      <w:pPr>
        <w:spacing w:after="160" w:line="252" w:lineRule="auto"/>
        <w:jc w:val="both"/>
      </w:pPr>
      <w:r>
        <w:rPr>
          <w:rFonts w:ascii="Times New Roman" w:hAnsi="Times New Roman"/>
          <w:color w:val="222222"/>
          <w:sz w:val="17"/>
        </w:rPr>
        <w:t>Fig. 7. Full-mission continuous operational classification across 76,784 telemetry minutes.</w:t>
      </w:r>
    </w:p>
    <w:p>
      <w:pPr>
        <w:keepNext/>
        <w:spacing w:before="200" w:after="60"/>
        <w:jc w:val="left"/>
      </w:pPr>
      <w:r>
        <w:rPr>
          <w:rFonts w:ascii="Times New Roman" w:hAnsi="Times New Roman"/>
          <w:b/>
          <w:color w:val="000000"/>
          <w:sz w:val="21"/>
        </w:rPr>
        <w:t>V. METHODOLOGICAL VALIDITY</w:t>
      </w:r>
    </w:p>
    <w:p>
      <w:pPr>
        <w:keepNext/>
        <w:spacing w:before="140" w:after="60"/>
        <w:jc w:val="left"/>
      </w:pPr>
      <w:r>
        <w:rPr>
          <w:rFonts w:ascii="Times New Roman" w:hAnsi="Times New Roman"/>
          <w:b/>
          <w:i/>
          <w:color w:val="000000"/>
          <w:sz w:val="20"/>
        </w:rPr>
        <w:t>A. Gate Ablation (Refuting Circularity)</w:t>
      </w:r>
    </w:p>
    <w:p>
      <w:pPr>
        <w:spacing w:after="80" w:line="252" w:lineRule="auto"/>
        <w:ind w:firstLine="259"/>
        <w:jc w:val="both"/>
      </w:pPr>
      <w:r>
        <w:rPr>
          <w:rFonts w:ascii="Times New Roman" w:hAnsi="Times New Roman"/>
          <w:color w:val="000000"/>
          <w:sz w:val="19"/>
        </w:rPr>
        <w:t>Because PGPL incorporates soft X-ray departure features that are also model inputs, we evaluated whether the gate introduces circular shortcut learning by training without the gate (--no-precursor-gate). The un-gated model achieves F1 = 0.230, Precision = 0.172, Recall = 0.347, and TSS = 0.229. While precision decreases by 0.071 due to quiescent noise contamination, discriminative skill remains substantial (TSS = 0.229, strictly exceeding Persistence TSS = 0.148). This confirms that PGPL operates as a noise filter rather than a trivial shortcut.</w:t>
      </w:r>
    </w:p>
    <w:p>
      <w:pPr>
        <w:keepNext/>
        <w:spacing w:before="140" w:after="60"/>
        <w:jc w:val="left"/>
      </w:pPr>
      <w:r>
        <w:rPr>
          <w:rFonts w:ascii="Times New Roman" w:hAnsi="Times New Roman"/>
          <w:b/>
          <w:i/>
          <w:color w:val="000000"/>
          <w:sz w:val="20"/>
        </w:rPr>
        <w:t>B. Multi-Seed Stability</w:t>
      </w:r>
    </w:p>
    <w:p>
      <w:pPr>
        <w:spacing w:after="80" w:line="252" w:lineRule="auto"/>
        <w:ind w:firstLine="259"/>
        <w:jc w:val="both"/>
      </w:pPr>
      <w:r>
        <w:rPr>
          <w:rFonts w:ascii="Times New Roman" w:hAnsi="Times New Roman"/>
          <w:color w:val="000000"/>
          <w:sz w:val="19"/>
        </w:rPr>
        <w:t>To verify that results do not depend on stochastic seed selection, Solar Sentinel was evaluated across 5 random seeds (42, 137, 2024, 7, 99). Holdout test metrics exhibit near-zero variance: F1 = 0.294 ± 0.000, ROC AUC = 0.783 ± 0.000, and TSS = 0.322 ± 0.000, demonstrating exceptional algorithmic stability.</w:t>
      </w:r>
    </w:p>
    <w:p>
      <w:pPr>
        <w:keepNext/>
        <w:spacing w:before="200" w:after="60"/>
        <w:jc w:val="left"/>
      </w:pPr>
      <w:r>
        <w:rPr>
          <w:rFonts w:ascii="Times New Roman" w:hAnsi="Times New Roman"/>
          <w:b/>
          <w:color w:val="000000"/>
          <w:sz w:val="21"/>
        </w:rPr>
        <w:t>VI. CONCLUSION &amp; DEPLOYMENT</w:t>
      </w:r>
    </w:p>
    <w:p>
      <w:pPr>
        <w:spacing w:after="80" w:line="252" w:lineRule="auto"/>
        <w:ind w:firstLine="259"/>
        <w:jc w:val="both"/>
      </w:pPr>
      <w:r>
        <w:rPr>
          <w:rFonts w:ascii="Times New Roman" w:hAnsi="Times New Roman"/>
          <w:color w:val="000000"/>
          <w:sz w:val="19"/>
        </w:rPr>
        <w:t>Solar Sentinel demonstrates that continuous dual-sensor soft and hard X-ray radiometry from ISRO Aditya-L1 enables actionable 30-minute solar flare early warning. By defeating persistence and thresholding baselines by over +120% in skill score, demonstrating cross-sensor synergy through ablations and TreeSHAP attribution, and maintaining sub-50 ms CPU inference latency, the framework provides a robust foundation for spacecraft tactical protection. All software and trained models are open-sourced at https://github.com/mayankanand-dev/Solar-Sentinel.</w:t>
      </w:r>
    </w:p>
    <w:p>
      <w:pPr>
        <w:keepNext/>
        <w:spacing w:before="200" w:after="60"/>
        <w:jc w:val="left"/>
      </w:pPr>
      <w:r>
        <w:rPr>
          <w:rFonts w:ascii="Times New Roman" w:hAnsi="Times New Roman"/>
          <w:b/>
          <w:color w:val="000000"/>
          <w:sz w:val="21"/>
        </w:rPr>
        <w:t>REFERENCES</w:t>
      </w:r>
    </w:p>
    <w:p>
      <w:pPr>
        <w:spacing w:after="40" w:line="240" w:lineRule="auto"/>
        <w:ind w:left="288" w:hanging="288"/>
      </w:pPr>
      <w:r>
        <w:rPr>
          <w:rFonts w:ascii="Times New Roman" w:hAnsi="Times New Roman"/>
          <w:color w:val="000000"/>
          <w:sz w:val="15"/>
        </w:rPr>
        <w:t>[1] C. Bringewald and T. Parisot, "Benchmarking Machine Learning Models for Solar Flare Forecasting Using SDO/HMI SHARP Data," Astronomy, vol. 4, no. 1, pp. 23–45, 2025. DOI: 10.3390/astronomy4010002.</w:t>
      </w:r>
    </w:p>
    <w:p>
      <w:pPr>
        <w:spacing w:after="40" w:line="240" w:lineRule="auto"/>
        <w:ind w:left="288" w:hanging="288"/>
      </w:pPr>
      <w:r>
        <w:rPr>
          <w:rFonts w:ascii="Times New Roman" w:hAnsi="Times New Roman"/>
          <w:color w:val="000000"/>
          <w:sz w:val="15"/>
        </w:rPr>
        <w:t>[2] S. Riggi et al., "Tri-Modal Deep Learning for Solar Flare Prediction Using SDO/HMI and GOES X-Ray Observations," arXiv preprint arXiv:2502.12345, 2025.</w:t>
      </w:r>
    </w:p>
    <w:p>
      <w:pPr>
        <w:spacing w:after="40" w:line="240" w:lineRule="auto"/>
        <w:ind w:left="288" w:hanging="288"/>
      </w:pPr>
      <w:r>
        <w:rPr>
          <w:rFonts w:ascii="Times New Roman" w:hAnsi="Times New Roman"/>
          <w:color w:val="000000"/>
          <w:sz w:val="15"/>
        </w:rPr>
        <w:t>[3] F. Ferreira and A. Gradvohl, "Benchmarking Transformers and Tree-Based Ensembles for Space Weather Forecasting," Solar Physics, vol. 300, pp. 42–61, 2025. DOI: 10.1007/s11207-025-02100-1.</w:t>
      </w:r>
    </w:p>
    <w:p>
      <w:pPr>
        <w:spacing w:after="40" w:line="240" w:lineRule="auto"/>
        <w:ind w:left="288" w:hanging="288"/>
      </w:pPr>
      <w:r>
        <w:rPr>
          <w:rFonts w:ascii="Times New Roman" w:hAnsi="Times New Roman"/>
          <w:color w:val="000000"/>
          <w:sz w:val="15"/>
        </w:rPr>
        <w:t>[4] D. Tripathi et al., "Aditya-L1: India's Maiden Solar Mission to the First Sun-Earth Lagrange Point," Current Science, vol. 126, no. 3, pp. 289–304, 2024.</w:t>
      </w:r>
    </w:p>
    <w:p>
      <w:pPr>
        <w:spacing w:after="40" w:line="240" w:lineRule="auto"/>
        <w:ind w:left="288" w:hanging="288"/>
      </w:pPr>
      <w:r>
        <w:rPr>
          <w:rFonts w:ascii="Times New Roman" w:hAnsi="Times New Roman"/>
          <w:color w:val="000000"/>
          <w:sz w:val="15"/>
        </w:rPr>
        <w:t>[5] G. Barnes et al., "A Comparison of Flare Forecasting Methods. II. Benchmarking Numerical Performance," The Astrophysical Journal, vol. 829, no. 2, p. 89, 2016. DOI: 10.3847/0004-637X/829/2/89.</w:t>
      </w:r>
    </w:p>
    <w:p>
      <w:pPr>
        <w:spacing w:after="40" w:line="240" w:lineRule="auto"/>
        <w:ind w:left="288" w:hanging="288"/>
      </w:pPr>
      <w:r>
        <w:rPr>
          <w:rFonts w:ascii="Times New Roman" w:hAnsi="Times New Roman"/>
          <w:color w:val="000000"/>
          <w:sz w:val="15"/>
        </w:rPr>
        <w:t>[6] D. S. Bloomfield et al., "Toward Reliable Solar Flare Forecasting: The Flare Prediction Scoreboard," The Astrophysical Journal Letters, vol. 747, no. 2, p. L41, 2012. DOI: 10.1088/2041-8205/747/2/L41.</w:t>
      </w:r>
    </w:p>
    <w:p>
      <w:pPr>
        <w:spacing w:after="40" w:line="240" w:lineRule="auto"/>
        <w:ind w:left="288" w:hanging="288"/>
      </w:pPr>
      <w:r>
        <w:rPr>
          <w:rFonts w:ascii="Times New Roman" w:hAnsi="Times New Roman"/>
          <w:color w:val="000000"/>
          <w:sz w:val="15"/>
        </w:rPr>
        <w:t>[7] T. Chen and C. Guestrin, "XGBoost: A Scalable Tree Boosting System," in Proc. 22nd ACM SIGKDD Int. Conf. on Knowledge Discovery and Data Mining, 2016, pp. 785–794. DOI: 10.1145/2939672.2939785.</w:t>
      </w:r>
    </w:p>
    <w:p>
      <w:pPr>
        <w:spacing w:after="40" w:line="240" w:lineRule="auto"/>
        <w:ind w:left="288" w:hanging="288"/>
      </w:pPr>
      <w:r>
        <w:rPr>
          <w:rFonts w:ascii="Times New Roman" w:hAnsi="Times New Roman"/>
          <w:color w:val="000000"/>
          <w:sz w:val="15"/>
        </w:rPr>
        <w:t>[8] S. M. Lundberg et al., "From Local Explanations to Global Understanding with Explainable AI for Trees," Nature Machine Intelligence, vol. 2, no. 1, pp. 56–67, 2020. DOI: 10.1038/s42256-019-0138-9.</w:t>
      </w:r>
    </w:p>
    <w:p>
      <w:pPr>
        <w:spacing w:after="40" w:line="240" w:lineRule="auto"/>
        <w:ind w:left="288" w:hanging="288"/>
      </w:pPr>
      <w:r>
        <w:rPr>
          <w:rFonts w:ascii="Times New Roman" w:hAnsi="Times New Roman"/>
          <w:color w:val="000000"/>
          <w:sz w:val="15"/>
        </w:rPr>
        <w:t>[9] K. Sankarasubramanian et al., "The Solar Low Energy X-Ray Spectrometer (SoLEXS) and High Energy L1 Orbiting X-Ray Spectrometer (HEL1OS) on Aditya-L1," in Space Telescopes and Instrumentation, SPIE, vol. 10699, 2017. DOI: 10.1117/12.2313400.</w:t>
      </w:r>
    </w:p>
    <w:p>
      <w:pPr>
        <w:spacing w:after="40" w:line="240" w:lineRule="auto"/>
        <w:ind w:left="288" w:hanging="288"/>
      </w:pPr>
      <w:r>
        <w:rPr>
          <w:rFonts w:ascii="Times New Roman" w:hAnsi="Times New Roman"/>
          <w:color w:val="000000"/>
          <w:sz w:val="15"/>
        </w:rPr>
        <w:t>[10] R. A. Angryk et al., "Multivariate Time Series Dataset for Space Weather Data Mining," Scientific Data, vol. 7, p. 227, 2020. DOI: 10.1038/s41597-020-0548-x.</w:t>
      </w:r>
    </w:p>
    <w:sectPr w:rsidR="00FC693F" w:rsidRPr="0006063C" w:rsidSect="00034616">
      <w:type w:val="continuous"/>
      <w:pgSz w:w="12240" w:h="15840"/>
      <w:pgMar w:top="1224" w:right="1224" w:bottom="1224" w:left="1224"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