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Weeks 1 &amp; 2 Overview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4ylawk5tb3tx" w:id="1"/>
      <w:bookmarkEnd w:id="1"/>
      <w:r w:rsidDel="00000000" w:rsidR="00000000" w:rsidRPr="00000000">
        <w:rPr>
          <w:color w:val="1f497d"/>
          <w:sz w:val="22"/>
          <w:szCs w:val="22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27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"/>
          <w:szCs w:val="24"/>
          <w:rtl w:val="0"/>
        </w:rPr>
        <w:t xml:space="preserve">QUICK LINKS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ab/>
        <w:tab/>
      </w:r>
      <w:hyperlink w:anchor="30j0zll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Study Guide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  <w:tab/>
      </w:r>
      <w:hyperlink w:anchor="3dy6vkm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Objectives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w:anchor="4d34og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bookmarkStart w:colFirst="0" w:colLast="0" w:name="30j0zll" w:id="2"/>
    <w:bookmarkEnd w:id="2"/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Study Guide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3znysh7" w:id="4"/>
            <w:bookmarkEnd w:id="4"/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Welcome to Weeks 1 &amp; 2 of Understanding Patient Data!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2et92p0" w:id="5"/>
            <w:bookmarkEnd w:id="5"/>
            <w:r w:rsidDel="00000000" w:rsidR="00000000" w:rsidRPr="00000000">
              <w:rPr>
                <w:rtl w:val="0"/>
              </w:rPr>
              <w:t xml:space="preserve">Reminders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discussion rubric for grading criteria. 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 View Course Lectures: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view the voice-over lectures for your course, click on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Media Gallery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Course Navigation Menu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download lectures (if available) in PDF file format, click 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Download Lectures in PDF File Format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located in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Introduction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module.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tyjcwt" w:id="6"/>
            <w:bookmarkEnd w:id="6"/>
            <w:r w:rsidDel="00000000" w:rsidR="00000000" w:rsidRPr="00000000">
              <w:rPr>
                <w:rtl w:val="0"/>
              </w:rPr>
              <w:t xml:space="preserve">Due Dates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Self-Introduction Discussion: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initial post is due by 11:59 PM ET on Saturday of Week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replies are due by 11:59 PM ET on Monday of Week 1.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DQ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initial post is due by 11:59 PM ET on Saturday of Week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replies are due by 11:59 PM ET on Monday of Week 2.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jc w:val="right"/>
        <w:rPr>
          <w:rFonts w:ascii="Calibri" w:cs="Calibri" w:eastAsia="Calibri" w:hAnsi="Calibri"/>
        </w:rPr>
      </w:pPr>
      <w:hyperlink w:anchor="_gjdgxs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dy6vkm" w:id="7"/>
    <w:bookmarkEnd w:id="7"/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student will be able to define patient data.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Calibri" w:cs="Calibri" w:eastAsia="Calibri" w:hAnsi="Calibri"/>
          <w:sz w:val="20"/>
          <w:szCs w:val="20"/>
        </w:rPr>
      </w:pPr>
      <w:hyperlink w:anchor="_gjdgxs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d34og8" w:id="9"/>
    <w:bookmarkEnd w:id="9"/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2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Lesson 1</w:t>
      </w:r>
    </w:p>
    <w:p w:rsidR="00000000" w:rsidDel="00000000" w:rsidP="00000000" w:rsidRDefault="00000000" w:rsidRPr="00000000" w14:paraId="00000024">
      <w:pPr>
        <w:pageBreakBefore w:val="0"/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the following required reading articles: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Dhar, V. (2014). Big data and predictive analytics in healthcare.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Big Data,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(3), BD113-BD116.doi: 10.1089/big.2014.1525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Roski, J., Bo-Linn, G. W., &amp; Andrews, T. A. (2014).Creating value in health care through big data: Opportunities and policy implications.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Health Affairs, 33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(7), 1115–1122. doi: 10.1377/hlthaff.2014.0147</w:t>
      </w:r>
    </w:p>
    <w:p w:rsidR="00000000" w:rsidDel="00000000" w:rsidP="00000000" w:rsidRDefault="00000000" w:rsidRPr="00000000" w14:paraId="00000028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the following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Presentation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Online PowerPoint presentation: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Developing an Analytics Strategy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[Online Presentation] available at: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http://HealthcareAnalyticsBook.com</w:t>
        </w:r>
      </w:hyperlink>
      <w:r w:rsidDel="00000000" w:rsidR="00000000" w:rsidRPr="00000000">
        <w:rPr>
          <w:rFonts w:ascii="Calibri" w:cs="Calibri" w:eastAsia="Calibri" w:hAnsi="Calibri"/>
          <w:i w:val="1"/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under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Resources and Links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”…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click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Downloads and Special Content”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Enter the Password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(password found in Strome, T. (2013).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p.219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Scroll down to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548dd4"/>
          <w:rtl w:val="0"/>
        </w:rPr>
        <w:t xml:space="preserve">Presentation – Developing an Analytics Strategy that Drives Healthcare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Self-Introduction Discussion.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Self-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ntroduction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iscussion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xpectations. Tell us about you. Create your initial post on the Self-introduction Discussion board following this guide: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address any or all of the following (suggestions) that you would like to share with the class by way of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interest and experience with healthcare data.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background, in general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experience with online learning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expectations from this course.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interest and experience interfacing with healthcare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This discussion will not be graded, but it is required!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your initial response by Saturday at 11:59 pm. Respond to the posts of three (3) individual peers on at least two (2) separate days before Monday at 11:59 pm.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REMINDER: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Each student is expected to work on this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individually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within the confines of the University’s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Academic Integrity Policy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(see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www.rowanonline.com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University policy details).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Lesson 2: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text(s):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Strome, T. (2013). Chapter 2 – Fundamentals of healthcare analytics (pp. 15-28). In T. L. Strome,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Healthcare analytics for quality and performance improvement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Hoboken, NJ: Wiley Publishers.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Brown, M. S. (2014). Chapters 2 – A day in your life as a data miner (pp. 17-48). In M. S. Brown,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Data mining for dummies.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Hoboken, NJ: Wiley Publishers.</w:t>
      </w:r>
    </w:p>
    <w:p w:rsidR="00000000" w:rsidDel="00000000" w:rsidP="00000000" w:rsidRDefault="00000000" w:rsidRPr="00000000" w14:paraId="00000043">
      <w:pPr>
        <w:pageBreakBefore w:val="0"/>
        <w:spacing w:after="0" w:before="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articles: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Bate, D. W., Saria, S., Ohno-Machado, L., Shah, A., &amp; Escobar, G. (2014). Big data in healthcare: Using analytics to identify and manage high-risk and high-cost patients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 Health Affairs, 33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(7), 1123-1131. doi:10.1377/hltaff.2014.0041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Elder Research. (2018).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Evaluation of the EEOC’s Data Analytics Activities Final Report OIG Report Number 2017-02-EOIG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Hiller, J. S. (2016, Summer). Healthy predictions? Questions for data analytics in healthcare.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American Journal of Business Law, 53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1-64. </w:t>
      </w:r>
    </w:p>
    <w:p w:rsidR="00000000" w:rsidDel="00000000" w:rsidP="00000000" w:rsidRDefault="00000000" w:rsidRPr="00000000" w14:paraId="00000048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View the following Lecture/Voice over PowerPoint: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Lecture 1 –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Introduction to patient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DQ 1.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your initial post on the DQ 1 Discussion Board in response to the following questions. Support your responses with a referenced rationale.</w:t>
      </w:r>
    </w:p>
    <w:p w:rsidR="00000000" w:rsidDel="00000000" w:rsidP="00000000" w:rsidRDefault="00000000" w:rsidRPr="00000000" w14:paraId="0000004D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1"/>
        <w:numPr>
          <w:ilvl w:val="0"/>
          <w:numId w:val="11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and explain the cultural attributes necessary to drive an organization’s maturity and growth through the use of analytic findings and outcomes. </w:t>
      </w:r>
    </w:p>
    <w:p w:rsidR="00000000" w:rsidDel="00000000" w:rsidP="00000000" w:rsidRDefault="00000000" w:rsidRPr="00000000" w14:paraId="0000004F">
      <w:pPr>
        <w:pageBreakBefore w:val="0"/>
        <w:widowControl w:val="1"/>
        <w:numPr>
          <w:ilvl w:val="0"/>
          <w:numId w:val="11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CRoss Industry Standard Process for Data Mining (CRISP-DM) is a comprehensive model for data mining projects; identify at least two examples where individual creativity is important in the data science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1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example of the risk and benefits of massive data collection about personal health and individual social status.</w:t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your initial response by Saturday at 11:59 pm. Respond to the posts of three (3) individual peers on at least two (2) separate days before Monday at 11:59 pm.</w:t>
      </w:r>
    </w:p>
    <w:p w:rsidR="00000000" w:rsidDel="00000000" w:rsidP="00000000" w:rsidRDefault="00000000" w:rsidRPr="00000000" w14:paraId="00000053">
      <w:pPr>
        <w:pageBreakBefore w:val="0"/>
        <w:spacing w:after="0" w:before="0" w:line="24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be sure to reference the Discussion Questions guide in the Assignment Outline section of the Syllabus for further assignment details.</w:t>
      </w:r>
    </w:p>
    <w:p w:rsidR="00000000" w:rsidDel="00000000" w:rsidP="00000000" w:rsidRDefault="00000000" w:rsidRPr="00000000" w14:paraId="00000055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REMINDER: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Each student is expected to work on this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individually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within the confines of the University’s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Academic Integrity Policy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(see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www.rowanonline.com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University policy details).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000099"/>
          <w:sz w:val="20"/>
          <w:szCs w:val="20"/>
          <w:u w:val="single"/>
        </w:rPr>
      </w:pPr>
      <w:hyperlink w:anchor="_gjdgxs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005" w:top="1530" w:left="1440" w:right="1440" w:header="504" w:footer="5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Calibri" w:cs="Calibri" w:eastAsia="Calibri" w:hAnsi="Calibri"/>
        <w:sz w:val="18"/>
        <w:szCs w:val="18"/>
      </w:rPr>
    </w:pPr>
    <w:hyperlink r:id="rId1">
      <w:r w:rsidDel="00000000" w:rsidR="00000000" w:rsidRPr="00000000">
        <w:rPr>
          <w:rFonts w:ascii="Calibri" w:cs="Calibri" w:eastAsia="Calibri" w:hAnsi="Calibri"/>
          <w:color w:val="1155cc"/>
          <w:sz w:val="16"/>
          <w:szCs w:val="16"/>
          <w:u w:val="single"/>
          <w:rtl w:val="0"/>
        </w:rPr>
        <w:t xml:space="preserve">Rowan Online</w:t>
      </w:r>
    </w:hyperlink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99999"/>
        <w:sz w:val="16"/>
        <w:szCs w:val="16"/>
        <w:rtl w:val="0"/>
      </w:rPr>
      <w:t xml:space="preserve">| </w:t>
    </w:r>
    <w:hyperlink r:id="rId2">
      <w:r w:rsidDel="00000000" w:rsidR="00000000" w:rsidRPr="00000000">
        <w:rPr>
          <w:rFonts w:ascii="Calibri" w:cs="Calibri" w:eastAsia="Calibri" w:hAnsi="Calibri"/>
          <w:color w:val="1155cc"/>
          <w:sz w:val="16"/>
          <w:szCs w:val="16"/>
          <w:u w:val="single"/>
          <w:rtl w:val="0"/>
        </w:rPr>
        <w:t xml:space="preserve">Rowan Global Learning &amp; Partnerships</w:t>
      </w:r>
    </w:hyperlink>
    <w:r w:rsidDel="00000000" w:rsidR="00000000" w:rsidRPr="00000000">
      <w:rPr>
        <w:rFonts w:ascii="Calibri" w:cs="Calibri" w:eastAsia="Calibri" w:hAnsi="Calibri"/>
        <w:color w:val="999999"/>
        <w:sz w:val="16"/>
        <w:szCs w:val="16"/>
        <w:rtl w:val="0"/>
      </w:rPr>
      <w:t xml:space="preserve"> | Weekly Overview | Version 4.1, 2015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ab/>
      <w:tab/>
      <w:tab/>
      <w:tab/>
    </w:r>
    <w:r w:rsidDel="00000000" w:rsidR="00000000" w:rsidRPr="00000000">
      <w:rPr>
        <w:rFonts w:ascii="Calibri" w:cs="Calibri" w:eastAsia="Calibri" w:hAnsi="Calibri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771650" cy="419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1650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rFonts w:ascii="Calibri" w:cs="Calibri" w:eastAsia="Calibri" w:hAnsi="Calibri"/>
      <w:b w:val="1"/>
      <w:color w:val="1f497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jc w:val="center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www.rowanonlin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healthcareanalyticsbook.com" TargetMode="External"/><Relationship Id="rId7" Type="http://schemas.openxmlformats.org/officeDocument/2006/relationships/hyperlink" Target="http://www.rowanonline.com" TargetMode="External"/><Relationship Id="rId8" Type="http://schemas.openxmlformats.org/officeDocument/2006/relationships/hyperlink" Target="https://oig.eeoc.gov//sites/default/files/audits/EEOC%20Data%20Analytics%20Report%20Final%20.pdf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rowanonline.com" TargetMode="External"/><Relationship Id="rId2" Type="http://schemas.openxmlformats.org/officeDocument/2006/relationships/hyperlink" Target="http://rowanu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