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7ED20E87" w:rsidR="00556E98" w:rsidRDefault="00556E98">
      <w:pPr>
        <w:rPr>
          <w:lang w:val="en-US"/>
        </w:rPr>
      </w:pPr>
      <w:r>
        <w:rPr>
          <w:lang w:val="en-US"/>
        </w:rPr>
        <w:t xml:space="preserve">My response for </w:t>
      </w:r>
      <w:r w:rsidRPr="00556E98">
        <w:rPr>
          <w:lang w:val="en-US"/>
        </w:rPr>
        <w:t xml:space="preserve">DQ </w:t>
      </w:r>
      <w:r w:rsidR="00FB65DC">
        <w:rPr>
          <w:lang w:val="en-US"/>
        </w:rPr>
        <w:t>9</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52C74DEE" w14:textId="4316A4C7" w:rsidR="00827EA2" w:rsidRDefault="00E3499D" w:rsidP="007B4672">
      <w:pPr>
        <w:rPr>
          <w:lang w:val="en-US"/>
        </w:rPr>
      </w:pPr>
      <w:r>
        <w:rPr>
          <w:lang w:val="en-US"/>
        </w:rPr>
        <w:t>Q1</w:t>
      </w:r>
      <w:r w:rsidR="00227D71">
        <w:rPr>
          <w:lang w:val="en-US"/>
        </w:rPr>
        <w:t>.</w:t>
      </w:r>
      <w:r w:rsidR="0011547D">
        <w:rPr>
          <w:lang w:val="en-US"/>
        </w:rPr>
        <w:t xml:space="preserve"> </w:t>
      </w:r>
      <w:r w:rsidR="00FB65DC" w:rsidRPr="00FB65DC">
        <w:rPr>
          <w:lang w:val="en-US"/>
        </w:rPr>
        <w:t>Describe the benefits and risks of patient shared-decision-making as it relates to quality measures.</w:t>
      </w:r>
    </w:p>
    <w:p w14:paraId="18548CFD" w14:textId="77777777" w:rsidR="00C95DE7" w:rsidRDefault="00C95DE7" w:rsidP="007B4672">
      <w:pPr>
        <w:rPr>
          <w:lang w:val="en-US"/>
        </w:rPr>
      </w:pPr>
    </w:p>
    <w:p w14:paraId="3F1FF57D" w14:textId="77777777" w:rsidR="00C95DE7" w:rsidRPr="00C95DE7" w:rsidRDefault="00C95DE7" w:rsidP="00C95DE7">
      <w:pPr>
        <w:rPr>
          <w:lang w:val="en-US"/>
        </w:rPr>
      </w:pPr>
      <w:r w:rsidRPr="00C95DE7">
        <w:rPr>
          <w:lang w:val="en-US"/>
        </w:rPr>
        <w:t>Benefits of Patient Shared Decision-Making in Quality Measures</w:t>
      </w:r>
    </w:p>
    <w:p w14:paraId="4819834B" w14:textId="77777777" w:rsidR="00C95DE7" w:rsidRPr="00C95DE7" w:rsidRDefault="00C95DE7" w:rsidP="00C95DE7">
      <w:pPr>
        <w:pStyle w:val="ListParagraph"/>
        <w:numPr>
          <w:ilvl w:val="0"/>
          <w:numId w:val="78"/>
        </w:numPr>
        <w:rPr>
          <w:lang w:val="en-US"/>
        </w:rPr>
      </w:pPr>
      <w:r w:rsidRPr="00C95DE7">
        <w:rPr>
          <w:lang w:val="en-US"/>
        </w:rPr>
        <w:t>Enhanced Patient Satisfaction: Shared decision-making (SDM) allows patients to voice their preferences and values, leading to greater satisfaction with their care 1.</w:t>
      </w:r>
    </w:p>
    <w:p w14:paraId="15CEA7A5" w14:textId="77777777" w:rsidR="00C95DE7" w:rsidRPr="00C95DE7" w:rsidRDefault="00C95DE7" w:rsidP="00C95DE7">
      <w:pPr>
        <w:rPr>
          <w:lang w:val="en-US"/>
        </w:rPr>
      </w:pPr>
    </w:p>
    <w:p w14:paraId="34021EC9" w14:textId="77777777" w:rsidR="00C95DE7" w:rsidRPr="00C95DE7" w:rsidRDefault="00C95DE7" w:rsidP="00C95DE7">
      <w:pPr>
        <w:pStyle w:val="ListParagraph"/>
        <w:numPr>
          <w:ilvl w:val="0"/>
          <w:numId w:val="78"/>
        </w:numPr>
        <w:rPr>
          <w:lang w:val="en-US"/>
        </w:rPr>
      </w:pPr>
      <w:r w:rsidRPr="00C95DE7">
        <w:rPr>
          <w:lang w:val="en-US"/>
        </w:rPr>
        <w:t>Improved Health Outcomes: Involving patients in decisions can lead to better health outcomes as treatments align more closely with their personal health goals 1.</w:t>
      </w:r>
    </w:p>
    <w:p w14:paraId="5063E78D" w14:textId="77777777" w:rsidR="00C95DE7" w:rsidRPr="00C95DE7" w:rsidRDefault="00C95DE7" w:rsidP="00C95DE7">
      <w:pPr>
        <w:rPr>
          <w:lang w:val="en-US"/>
        </w:rPr>
      </w:pPr>
    </w:p>
    <w:p w14:paraId="23B6E098" w14:textId="77777777" w:rsidR="00C95DE7" w:rsidRPr="00C95DE7" w:rsidRDefault="00C95DE7" w:rsidP="00C95DE7">
      <w:pPr>
        <w:pStyle w:val="ListParagraph"/>
        <w:numPr>
          <w:ilvl w:val="0"/>
          <w:numId w:val="78"/>
        </w:numPr>
        <w:rPr>
          <w:lang w:val="en-US"/>
        </w:rPr>
      </w:pPr>
      <w:r w:rsidRPr="00C95DE7">
        <w:rPr>
          <w:lang w:val="en-US"/>
        </w:rPr>
        <w:t>Respect for Patient Autonomy: SDM respects patients' rights to refuse treatments, thus promoting individual autonomy in healthcare decisions 1.</w:t>
      </w:r>
    </w:p>
    <w:p w14:paraId="39D2EEED" w14:textId="77777777" w:rsidR="00C95DE7" w:rsidRPr="00C95DE7" w:rsidRDefault="00C95DE7" w:rsidP="00C95DE7">
      <w:pPr>
        <w:rPr>
          <w:lang w:val="en-US"/>
        </w:rPr>
      </w:pPr>
    </w:p>
    <w:p w14:paraId="6C24CD6A" w14:textId="77777777" w:rsidR="00C95DE7" w:rsidRPr="00C95DE7" w:rsidRDefault="00C95DE7" w:rsidP="00C95DE7">
      <w:pPr>
        <w:pStyle w:val="ListParagraph"/>
        <w:numPr>
          <w:ilvl w:val="0"/>
          <w:numId w:val="78"/>
        </w:numPr>
        <w:rPr>
          <w:lang w:val="en-US"/>
        </w:rPr>
      </w:pPr>
      <w:r w:rsidRPr="00C95DE7">
        <w:rPr>
          <w:lang w:val="en-US"/>
        </w:rPr>
        <w:t>Reduction of Unwanted Care: By considering patient preferences, SDM can help avoid unnecessary interventions that may not align with the patient’s values or desired outcomes 1.</w:t>
      </w:r>
    </w:p>
    <w:p w14:paraId="5AE95B1C" w14:textId="77777777" w:rsidR="00C95DE7" w:rsidRPr="00C95DE7" w:rsidRDefault="00C95DE7" w:rsidP="00C95DE7">
      <w:pPr>
        <w:rPr>
          <w:lang w:val="en-US"/>
        </w:rPr>
      </w:pPr>
    </w:p>
    <w:p w14:paraId="455927E6" w14:textId="77777777" w:rsidR="00C95DE7" w:rsidRPr="00C95DE7" w:rsidRDefault="00C95DE7" w:rsidP="00C95DE7">
      <w:pPr>
        <w:pStyle w:val="ListParagraph"/>
        <w:numPr>
          <w:ilvl w:val="0"/>
          <w:numId w:val="78"/>
        </w:numPr>
        <w:rPr>
          <w:lang w:val="en-US"/>
        </w:rPr>
      </w:pPr>
      <w:r w:rsidRPr="00C95DE7">
        <w:rPr>
          <w:lang w:val="en-US"/>
        </w:rPr>
        <w:t>Tailored Treatment Plans: SDM fosters the creation of personalized treatment plans that consider each patient’s unique circumstances, potentially improving adherence to care 1.</w:t>
      </w:r>
    </w:p>
    <w:p w14:paraId="085C7D85" w14:textId="77777777" w:rsidR="00C95DE7" w:rsidRPr="00C95DE7" w:rsidRDefault="00C95DE7" w:rsidP="00C95DE7">
      <w:pPr>
        <w:rPr>
          <w:lang w:val="en-US"/>
        </w:rPr>
      </w:pPr>
    </w:p>
    <w:p w14:paraId="5F481E6C" w14:textId="77777777" w:rsidR="00C95DE7" w:rsidRPr="00C95DE7" w:rsidRDefault="00C95DE7" w:rsidP="00C95DE7">
      <w:pPr>
        <w:pStyle w:val="ListParagraph"/>
        <w:numPr>
          <w:ilvl w:val="0"/>
          <w:numId w:val="78"/>
        </w:numPr>
        <w:rPr>
          <w:lang w:val="en-US"/>
        </w:rPr>
      </w:pPr>
      <w:r w:rsidRPr="00C95DE7">
        <w:rPr>
          <w:lang w:val="en-US"/>
        </w:rPr>
        <w:t>Better Communication: Engaging patients in their care fosters better communication between providers and patients, enhancing trust and collaboration 1.</w:t>
      </w:r>
    </w:p>
    <w:p w14:paraId="6CC3FD88" w14:textId="77777777" w:rsidR="00C95DE7" w:rsidRPr="00C95DE7" w:rsidRDefault="00C95DE7" w:rsidP="00C95DE7">
      <w:pPr>
        <w:rPr>
          <w:lang w:val="en-US"/>
        </w:rPr>
      </w:pPr>
    </w:p>
    <w:p w14:paraId="35E2449E" w14:textId="77777777" w:rsidR="00C95DE7" w:rsidRPr="00C95DE7" w:rsidRDefault="00C95DE7" w:rsidP="00C95DE7">
      <w:pPr>
        <w:pStyle w:val="ListParagraph"/>
        <w:numPr>
          <w:ilvl w:val="0"/>
          <w:numId w:val="78"/>
        </w:numPr>
        <w:rPr>
          <w:lang w:val="en-US"/>
        </w:rPr>
      </w:pPr>
      <w:r w:rsidRPr="00C95DE7">
        <w:rPr>
          <w:lang w:val="en-US"/>
        </w:rPr>
        <w:t>Alignment of Goals: SDM helps ensure that treatment goals are consistent with what the patients deem important, thus aligning clinical outcomes with patient expectations 1.</w:t>
      </w:r>
    </w:p>
    <w:p w14:paraId="446F1EC4" w14:textId="77777777" w:rsidR="00C95DE7" w:rsidRPr="00C95DE7" w:rsidRDefault="00C95DE7" w:rsidP="00C95DE7">
      <w:pPr>
        <w:rPr>
          <w:lang w:val="en-US"/>
        </w:rPr>
      </w:pPr>
    </w:p>
    <w:p w14:paraId="75FC15F9" w14:textId="77777777" w:rsidR="00C95DE7" w:rsidRPr="00C95DE7" w:rsidRDefault="00C95DE7" w:rsidP="00C95DE7">
      <w:pPr>
        <w:pStyle w:val="ListParagraph"/>
        <w:numPr>
          <w:ilvl w:val="0"/>
          <w:numId w:val="78"/>
        </w:numPr>
        <w:rPr>
          <w:lang w:val="en-US"/>
        </w:rPr>
      </w:pPr>
      <w:r w:rsidRPr="00C95DE7">
        <w:rPr>
          <w:lang w:val="en-US"/>
        </w:rPr>
        <w:t xml:space="preserve">Flexibility in Measurement: Incorporating SDM into quality measures allows for more flexible approaches that can adapt to individual patient needs, rather than relying solely on standardized </w:t>
      </w:r>
      <w:proofErr w:type="gramStart"/>
      <w:r w:rsidRPr="00C95DE7">
        <w:rPr>
          <w:lang w:val="en-US"/>
        </w:rPr>
        <w:t>metrics .</w:t>
      </w:r>
      <w:proofErr w:type="gramEnd"/>
    </w:p>
    <w:p w14:paraId="04535962" w14:textId="77777777" w:rsidR="00C95DE7" w:rsidRDefault="00C95DE7" w:rsidP="00C95DE7">
      <w:pPr>
        <w:rPr>
          <w:lang w:val="en-US"/>
        </w:rPr>
      </w:pPr>
    </w:p>
    <w:p w14:paraId="5CA0FED0" w14:textId="59469873" w:rsidR="00C95DE7" w:rsidRPr="00C95DE7" w:rsidRDefault="00C95DE7" w:rsidP="00C95DE7">
      <w:pPr>
        <w:rPr>
          <w:lang w:val="en-US"/>
        </w:rPr>
      </w:pPr>
      <w:r w:rsidRPr="00C95DE7">
        <w:rPr>
          <w:lang w:val="en-US"/>
        </w:rPr>
        <w:t>Risks of Patient Shared Decision-Making in Quality Measures. Potential for Conflicting Interests: Physicians may feel pressure to persuade patients to accept certain treatments, which could undermine the true intent of SDM [1].</w:t>
      </w:r>
    </w:p>
    <w:p w14:paraId="275C6627" w14:textId="77777777" w:rsidR="00C95DE7" w:rsidRPr="00C95DE7" w:rsidRDefault="00C95DE7" w:rsidP="00C95DE7">
      <w:pPr>
        <w:pStyle w:val="ListParagraph"/>
        <w:numPr>
          <w:ilvl w:val="0"/>
          <w:numId w:val="79"/>
        </w:numPr>
        <w:rPr>
          <w:lang w:val="en-US"/>
        </w:rPr>
      </w:pPr>
      <w:r w:rsidRPr="00C95DE7">
        <w:rPr>
          <w:lang w:val="en-US"/>
        </w:rPr>
        <w:t>Increased Documentation Burden: The need to document patient preferences and decisions may add to the administrative burden on healthcare providers 2.</w:t>
      </w:r>
    </w:p>
    <w:p w14:paraId="1EC7B1EC" w14:textId="77777777" w:rsidR="00C95DE7" w:rsidRPr="00C95DE7" w:rsidRDefault="00C95DE7" w:rsidP="00C95DE7">
      <w:pPr>
        <w:rPr>
          <w:lang w:val="en-US"/>
        </w:rPr>
      </w:pPr>
    </w:p>
    <w:p w14:paraId="6E0176B6" w14:textId="77777777" w:rsidR="00C95DE7" w:rsidRPr="00C95DE7" w:rsidRDefault="00C95DE7" w:rsidP="00C95DE7">
      <w:pPr>
        <w:pStyle w:val="ListParagraph"/>
        <w:numPr>
          <w:ilvl w:val="0"/>
          <w:numId w:val="79"/>
        </w:numPr>
        <w:rPr>
          <w:lang w:val="en-US"/>
        </w:rPr>
      </w:pPr>
      <w:r w:rsidRPr="00C95DE7">
        <w:rPr>
          <w:lang w:val="en-US"/>
        </w:rPr>
        <w:t>Variability in Patient Understanding: Not all patients may fully understand their options or the implications of their choices, potentially leading to poor decisions 1.</w:t>
      </w:r>
    </w:p>
    <w:p w14:paraId="49340500" w14:textId="77777777" w:rsidR="00C95DE7" w:rsidRPr="00C95DE7" w:rsidRDefault="00C95DE7" w:rsidP="00C95DE7">
      <w:pPr>
        <w:rPr>
          <w:lang w:val="en-US"/>
        </w:rPr>
      </w:pPr>
    </w:p>
    <w:p w14:paraId="17CB0A97" w14:textId="77777777" w:rsidR="00C95DE7" w:rsidRDefault="00C95DE7" w:rsidP="00C95DE7">
      <w:pPr>
        <w:pStyle w:val="ListParagraph"/>
        <w:numPr>
          <w:ilvl w:val="0"/>
          <w:numId w:val="79"/>
        </w:numPr>
        <w:rPr>
          <w:lang w:val="en-US"/>
        </w:rPr>
      </w:pPr>
      <w:r w:rsidRPr="00C95DE7">
        <w:rPr>
          <w:lang w:val="en-US"/>
        </w:rPr>
        <w:t>Disparities in Care: If not managed properly, SDM could exacerbate healthcare disparities, as certain populations may have more difficulty engaging in the decision-making process 1.</w:t>
      </w:r>
    </w:p>
    <w:p w14:paraId="6361EE50" w14:textId="77777777" w:rsidR="00C95DE7" w:rsidRPr="00C95DE7" w:rsidRDefault="00C95DE7" w:rsidP="00C95DE7">
      <w:pPr>
        <w:pStyle w:val="ListParagraph"/>
        <w:rPr>
          <w:lang w:val="en-US"/>
        </w:rPr>
      </w:pPr>
    </w:p>
    <w:p w14:paraId="53D37656" w14:textId="1D4C6BAA" w:rsidR="00C95DE7" w:rsidRPr="00C95DE7" w:rsidRDefault="00C95DE7" w:rsidP="00C95DE7">
      <w:pPr>
        <w:pStyle w:val="ListParagraph"/>
        <w:numPr>
          <w:ilvl w:val="0"/>
          <w:numId w:val="79"/>
        </w:numPr>
        <w:rPr>
          <w:lang w:val="en-US"/>
        </w:rPr>
      </w:pPr>
      <w:r w:rsidRPr="00C95DE7">
        <w:rPr>
          <w:lang w:val="en-US"/>
        </w:rPr>
        <w:lastRenderedPageBreak/>
        <w:t>Misalignment with Quality Measures: Quality measures that do not account for patient preferences may not accurately reflect the quality of care provided, leading to perverse incentives 1.</w:t>
      </w:r>
    </w:p>
    <w:p w14:paraId="726F9BAE" w14:textId="77777777" w:rsidR="00C95DE7" w:rsidRPr="00C95DE7" w:rsidRDefault="00C95DE7" w:rsidP="00C95DE7">
      <w:pPr>
        <w:rPr>
          <w:lang w:val="en-US"/>
        </w:rPr>
      </w:pPr>
    </w:p>
    <w:p w14:paraId="3EB44544" w14:textId="77777777" w:rsidR="00C95DE7" w:rsidRPr="00C95DE7" w:rsidRDefault="00C95DE7" w:rsidP="00C95DE7">
      <w:pPr>
        <w:pStyle w:val="ListParagraph"/>
        <w:numPr>
          <w:ilvl w:val="0"/>
          <w:numId w:val="79"/>
        </w:numPr>
        <w:rPr>
          <w:lang w:val="en-US"/>
        </w:rPr>
      </w:pPr>
      <w:r w:rsidRPr="00C95DE7">
        <w:rPr>
          <w:lang w:val="en-US"/>
        </w:rPr>
        <w:t>Risk of Overemphasis on Patient Preferences: Focusing too heavily on patient preferences may lead to the neglect of evidence-based practices, which are crucial for ensuring effective care 1.</w:t>
      </w:r>
    </w:p>
    <w:p w14:paraId="24D2207D" w14:textId="77777777" w:rsidR="00C95DE7" w:rsidRPr="00C95DE7" w:rsidRDefault="00C95DE7" w:rsidP="00C95DE7">
      <w:pPr>
        <w:rPr>
          <w:lang w:val="en-US"/>
        </w:rPr>
      </w:pPr>
    </w:p>
    <w:p w14:paraId="2C352CA2" w14:textId="77777777" w:rsidR="00C95DE7" w:rsidRPr="00C95DE7" w:rsidRDefault="00C95DE7" w:rsidP="00C95DE7">
      <w:pPr>
        <w:pStyle w:val="ListParagraph"/>
        <w:numPr>
          <w:ilvl w:val="0"/>
          <w:numId w:val="79"/>
        </w:numPr>
        <w:rPr>
          <w:lang w:val="en-US"/>
        </w:rPr>
      </w:pPr>
      <w:r w:rsidRPr="00C95DE7">
        <w:rPr>
          <w:lang w:val="en-US"/>
        </w:rPr>
        <w:t>Resistance from Providers: Some providers may resist adopting SDM due to concerns about time constraints or the complexity of discussions, potentially limiting its implementation 2.</w:t>
      </w:r>
    </w:p>
    <w:p w14:paraId="0EFE18CC" w14:textId="77777777" w:rsidR="00C95DE7" w:rsidRPr="00C95DE7" w:rsidRDefault="00C95DE7" w:rsidP="00C95DE7">
      <w:pPr>
        <w:rPr>
          <w:lang w:val="en-US"/>
        </w:rPr>
      </w:pPr>
    </w:p>
    <w:p w14:paraId="450A0AB3" w14:textId="77777777" w:rsidR="00C95DE7" w:rsidRPr="00C95DE7" w:rsidRDefault="00C95DE7" w:rsidP="00C95DE7">
      <w:pPr>
        <w:pStyle w:val="ListParagraph"/>
        <w:numPr>
          <w:ilvl w:val="0"/>
          <w:numId w:val="79"/>
        </w:numPr>
        <w:rPr>
          <w:lang w:val="en-US"/>
        </w:rPr>
      </w:pPr>
      <w:r w:rsidRPr="00C95DE7">
        <w:rPr>
          <w:lang w:val="en-US"/>
        </w:rPr>
        <w:t>Challenges in Measuring Outcomes: The incorporation of patient preferences in outcome measures can complicate data collection and analysis, making it difficult to assess quality consistently 2.</w:t>
      </w:r>
    </w:p>
    <w:p w14:paraId="2D493E89" w14:textId="77777777" w:rsidR="00C95DE7" w:rsidRPr="00C95DE7" w:rsidRDefault="00C95DE7" w:rsidP="00C95DE7">
      <w:pPr>
        <w:rPr>
          <w:lang w:val="en-US"/>
        </w:rPr>
      </w:pPr>
    </w:p>
    <w:p w14:paraId="6DF0C883" w14:textId="77777777" w:rsidR="00C95DE7" w:rsidRPr="00C95DE7" w:rsidRDefault="00C95DE7" w:rsidP="00C95DE7">
      <w:pPr>
        <w:rPr>
          <w:lang w:val="en-US"/>
        </w:rPr>
      </w:pPr>
      <w:r w:rsidRPr="00C95DE7">
        <w:rPr>
          <w:lang w:val="en-US"/>
        </w:rPr>
        <w:t>Conclusion</w:t>
      </w:r>
    </w:p>
    <w:p w14:paraId="7C7E9A9F" w14:textId="49493304" w:rsidR="00C95DE7" w:rsidRDefault="00C95DE7" w:rsidP="00C95DE7">
      <w:pPr>
        <w:rPr>
          <w:lang w:val="en-US"/>
        </w:rPr>
      </w:pPr>
      <w:r w:rsidRPr="00C95DE7">
        <w:rPr>
          <w:lang w:val="en-US"/>
        </w:rPr>
        <w:t>Patient shared decision-making represents a significant evolution in healthcare quality measures, offering substantial benefits such as enhanced satisfaction and improved health outcomes. However, it also poses risks, including potential provider biases and the challenge of ensuring equitable care. Balancing these benefits and risks is essential for effective implementation of SDM in clinical practice.</w:t>
      </w:r>
    </w:p>
    <w:p w14:paraId="13BAAFC9" w14:textId="77777777" w:rsidR="00FB65DC" w:rsidRDefault="00FB65DC" w:rsidP="007B4672">
      <w:pPr>
        <w:rPr>
          <w:lang w:val="en-US"/>
        </w:rPr>
      </w:pPr>
    </w:p>
    <w:p w14:paraId="3F36F78D" w14:textId="5AEBB1DB" w:rsidR="005872C8" w:rsidRDefault="00227D71" w:rsidP="00BE3E99">
      <w:pPr>
        <w:rPr>
          <w:lang w:val="en-US"/>
        </w:rPr>
      </w:pPr>
      <w:r>
        <w:rPr>
          <w:lang w:val="en-US"/>
        </w:rPr>
        <w:t xml:space="preserve">Q2. </w:t>
      </w:r>
      <w:r w:rsidR="00FB65DC" w:rsidRPr="00FB65DC">
        <w:rPr>
          <w:lang w:val="en-US"/>
        </w:rPr>
        <w:t>Compare and contrast cost-based quality measurement based on cost versus value-based quality measurement.</w:t>
      </w:r>
    </w:p>
    <w:p w14:paraId="2EDD9CD9" w14:textId="77777777" w:rsidR="00832038" w:rsidRDefault="00832038" w:rsidP="00BE3E99">
      <w:pPr>
        <w:rPr>
          <w:lang w:val="en-US"/>
        </w:rPr>
      </w:pPr>
    </w:p>
    <w:p w14:paraId="1CEF425C" w14:textId="77777777" w:rsidR="00832038" w:rsidRPr="00832038" w:rsidRDefault="00832038" w:rsidP="00832038">
      <w:pPr>
        <w:rPr>
          <w:lang w:val="en-US"/>
        </w:rPr>
      </w:pPr>
      <w:r w:rsidRPr="00832038">
        <w:rPr>
          <w:lang w:val="en-US"/>
        </w:rPr>
        <w:t>Comparison of Cost-Based Quality Measurement and Value-Based Quality Measurement</w:t>
      </w:r>
    </w:p>
    <w:p w14:paraId="21D178FF" w14:textId="77777777" w:rsidR="00832038" w:rsidRPr="00832038" w:rsidRDefault="00832038" w:rsidP="00832038">
      <w:pPr>
        <w:rPr>
          <w:lang w:val="en-US"/>
        </w:rPr>
      </w:pPr>
      <w:r w:rsidRPr="00832038">
        <w:rPr>
          <w:lang w:val="en-US"/>
        </w:rPr>
        <w:t>Overview</w:t>
      </w:r>
    </w:p>
    <w:p w14:paraId="7C1BA39A" w14:textId="77777777" w:rsidR="00832038" w:rsidRPr="00832038" w:rsidRDefault="00832038" w:rsidP="00832038">
      <w:pPr>
        <w:rPr>
          <w:lang w:val="en-US"/>
        </w:rPr>
      </w:pPr>
      <w:r w:rsidRPr="00832038">
        <w:rPr>
          <w:lang w:val="en-US"/>
        </w:rPr>
        <w:t>Cost-based quality measurement focuses primarily on evaluating the quality of healthcare by analyzing the costs associated with providing that care. In contrast, value-based quality measurement assesses the quality of care in terms of the outcomes achieved relative to the costs incurred. Both approaches aim to improve healthcare delivery but differ significantly in their methodologies and implications for healthcare systems.</w:t>
      </w:r>
    </w:p>
    <w:p w14:paraId="4B604A66" w14:textId="77777777" w:rsidR="00832038" w:rsidRPr="00832038" w:rsidRDefault="00832038" w:rsidP="00832038">
      <w:pPr>
        <w:rPr>
          <w:lang w:val="en-US"/>
        </w:rPr>
      </w:pPr>
    </w:p>
    <w:p w14:paraId="0ACFDD2F" w14:textId="77777777" w:rsidR="00832038" w:rsidRDefault="00832038" w:rsidP="00832038">
      <w:pPr>
        <w:rPr>
          <w:lang w:val="en-US"/>
        </w:rPr>
      </w:pPr>
      <w:r w:rsidRPr="00832038">
        <w:rPr>
          <w:lang w:val="en-US"/>
        </w:rPr>
        <w:t xml:space="preserve">Cost-Based Quality Measurement. </w:t>
      </w:r>
    </w:p>
    <w:p w14:paraId="481303D8" w14:textId="42CE98FC" w:rsidR="00832038" w:rsidRPr="00832038" w:rsidRDefault="00832038" w:rsidP="00832038">
      <w:pPr>
        <w:pStyle w:val="ListParagraph"/>
        <w:numPr>
          <w:ilvl w:val="0"/>
          <w:numId w:val="80"/>
        </w:numPr>
        <w:rPr>
          <w:lang w:val="en-US"/>
        </w:rPr>
      </w:pPr>
      <w:r w:rsidRPr="00832038">
        <w:rPr>
          <w:lang w:val="en-US"/>
        </w:rPr>
        <w:t>Definition: Evaluates healthcare quality primarily through the lens of costs incurred for services rendered.</w:t>
      </w:r>
    </w:p>
    <w:p w14:paraId="1C8758AD" w14:textId="77777777" w:rsidR="00832038" w:rsidRPr="00832038" w:rsidRDefault="00832038" w:rsidP="00832038">
      <w:pPr>
        <w:pStyle w:val="ListParagraph"/>
        <w:numPr>
          <w:ilvl w:val="0"/>
          <w:numId w:val="80"/>
        </w:numPr>
        <w:rPr>
          <w:lang w:val="en-US"/>
        </w:rPr>
      </w:pPr>
      <w:r w:rsidRPr="00832038">
        <w:rPr>
          <w:lang w:val="en-US"/>
        </w:rPr>
        <w:t>Focus: Emphasizes the financial aspects of care, assessing how effectively resources are being utilized.</w:t>
      </w:r>
    </w:p>
    <w:p w14:paraId="0F61AB35" w14:textId="77777777" w:rsidR="00832038" w:rsidRPr="00832038" w:rsidRDefault="00832038" w:rsidP="00832038">
      <w:pPr>
        <w:pStyle w:val="ListParagraph"/>
        <w:numPr>
          <w:ilvl w:val="0"/>
          <w:numId w:val="80"/>
        </w:numPr>
        <w:rPr>
          <w:lang w:val="en-US"/>
        </w:rPr>
      </w:pPr>
      <w:r w:rsidRPr="00832038">
        <w:rPr>
          <w:lang w:val="en-US"/>
        </w:rPr>
        <w:t>Metrics: Common measures include total expenditure per patient, cost per procedure, and comparative costs of services across providers.</w:t>
      </w:r>
    </w:p>
    <w:p w14:paraId="30F1D93C" w14:textId="77777777" w:rsidR="00832038" w:rsidRPr="00832038" w:rsidRDefault="00832038" w:rsidP="00832038">
      <w:pPr>
        <w:pStyle w:val="ListParagraph"/>
        <w:numPr>
          <w:ilvl w:val="0"/>
          <w:numId w:val="80"/>
        </w:numPr>
        <w:rPr>
          <w:lang w:val="en-US"/>
        </w:rPr>
      </w:pPr>
      <w:r w:rsidRPr="00832038">
        <w:rPr>
          <w:lang w:val="en-US"/>
        </w:rPr>
        <w:t>Limitations: Often relies on administrative billing data, which may not accurately reflect the quality of clinical outcomes 2.</w:t>
      </w:r>
    </w:p>
    <w:p w14:paraId="4927A97D" w14:textId="77777777" w:rsidR="00832038" w:rsidRPr="00832038" w:rsidRDefault="00832038" w:rsidP="00832038">
      <w:pPr>
        <w:pStyle w:val="ListParagraph"/>
        <w:numPr>
          <w:ilvl w:val="0"/>
          <w:numId w:val="80"/>
        </w:numPr>
        <w:rPr>
          <w:lang w:val="en-US"/>
        </w:rPr>
      </w:pPr>
      <w:r w:rsidRPr="00832038">
        <w:rPr>
          <w:lang w:val="en-US"/>
        </w:rPr>
        <w:t>Application: Used for payment programs and regulatory compliance, influencing reimbursement rates based on cost-efficiency 1.</w:t>
      </w:r>
    </w:p>
    <w:p w14:paraId="119E0052" w14:textId="77777777" w:rsidR="00832038" w:rsidRPr="00832038" w:rsidRDefault="00832038" w:rsidP="00832038">
      <w:pPr>
        <w:pStyle w:val="ListParagraph"/>
        <w:numPr>
          <w:ilvl w:val="0"/>
          <w:numId w:val="80"/>
        </w:numPr>
        <w:rPr>
          <w:lang w:val="en-US"/>
        </w:rPr>
      </w:pPr>
      <w:r w:rsidRPr="00832038">
        <w:rPr>
          <w:lang w:val="en-US"/>
        </w:rPr>
        <w:t>Challenges: Can lead to cost-cutting measures that may compromise quality if not balanced with clinical outcomes 1.</w:t>
      </w:r>
    </w:p>
    <w:p w14:paraId="757F1072" w14:textId="77777777" w:rsidR="00832038" w:rsidRPr="00832038" w:rsidRDefault="00832038" w:rsidP="00832038">
      <w:pPr>
        <w:pStyle w:val="ListParagraph"/>
        <w:numPr>
          <w:ilvl w:val="0"/>
          <w:numId w:val="80"/>
        </w:numPr>
        <w:rPr>
          <w:lang w:val="en-US"/>
        </w:rPr>
      </w:pPr>
      <w:r w:rsidRPr="00832038">
        <w:rPr>
          <w:lang w:val="en-US"/>
        </w:rPr>
        <w:lastRenderedPageBreak/>
        <w:t>Perspective Influence: Primarily from the provider's viewpoint, focusing on operational efficiencies and financial sustainability 2.</w:t>
      </w:r>
    </w:p>
    <w:p w14:paraId="26A6CA45" w14:textId="77777777" w:rsidR="00832038" w:rsidRPr="00832038" w:rsidRDefault="00832038" w:rsidP="00832038">
      <w:pPr>
        <w:pStyle w:val="ListParagraph"/>
        <w:numPr>
          <w:ilvl w:val="0"/>
          <w:numId w:val="80"/>
        </w:numPr>
        <w:rPr>
          <w:lang w:val="en-US"/>
        </w:rPr>
      </w:pPr>
      <w:r w:rsidRPr="00832038">
        <w:rPr>
          <w:lang w:val="en-US"/>
        </w:rPr>
        <w:t xml:space="preserve">Example Measures: Mortality rates adjusted by </w:t>
      </w:r>
      <w:proofErr w:type="gramStart"/>
      <w:r w:rsidRPr="00832038">
        <w:rPr>
          <w:lang w:val="en-US"/>
        </w:rPr>
        <w:t>cost,</w:t>
      </w:r>
      <w:proofErr w:type="gramEnd"/>
      <w:r w:rsidRPr="00832038">
        <w:rPr>
          <w:lang w:val="en-US"/>
        </w:rPr>
        <w:t xml:space="preserve"> readmission rates correlated with treatment costs 3.</w:t>
      </w:r>
    </w:p>
    <w:p w14:paraId="67AA7F46" w14:textId="77777777" w:rsidR="00832038" w:rsidRPr="00832038" w:rsidRDefault="00832038" w:rsidP="00832038">
      <w:pPr>
        <w:rPr>
          <w:lang w:val="en-US"/>
        </w:rPr>
      </w:pPr>
      <w:r w:rsidRPr="00832038">
        <w:rPr>
          <w:lang w:val="en-US"/>
        </w:rPr>
        <w:t>Value-Based Quality Measurement</w:t>
      </w:r>
    </w:p>
    <w:p w14:paraId="12E181D7" w14:textId="77777777" w:rsidR="00832038" w:rsidRPr="00832038" w:rsidRDefault="00832038" w:rsidP="00832038">
      <w:pPr>
        <w:pStyle w:val="ListParagraph"/>
        <w:numPr>
          <w:ilvl w:val="0"/>
          <w:numId w:val="82"/>
        </w:numPr>
        <w:rPr>
          <w:lang w:val="en-US"/>
        </w:rPr>
      </w:pPr>
      <w:r w:rsidRPr="00832038">
        <w:rPr>
          <w:lang w:val="en-US"/>
        </w:rPr>
        <w:t>Definition: Evaluates healthcare quality by measuring outcomes achieved relative to the costs of delivering care, emphasizing patient care effectiveness 2.</w:t>
      </w:r>
    </w:p>
    <w:p w14:paraId="703ECDAC" w14:textId="77777777" w:rsidR="00832038" w:rsidRPr="00832038" w:rsidRDefault="00832038" w:rsidP="00832038">
      <w:pPr>
        <w:pStyle w:val="ListParagraph"/>
        <w:numPr>
          <w:ilvl w:val="0"/>
          <w:numId w:val="82"/>
        </w:numPr>
        <w:rPr>
          <w:lang w:val="en-US"/>
        </w:rPr>
      </w:pPr>
      <w:r w:rsidRPr="00832038">
        <w:rPr>
          <w:lang w:val="en-US"/>
        </w:rPr>
        <w:t>Focus: Prioritizes patient outcomes, satisfaction, and overall care quality rather than just financial metrics.</w:t>
      </w:r>
    </w:p>
    <w:p w14:paraId="34654502" w14:textId="77777777" w:rsidR="00832038" w:rsidRPr="00832038" w:rsidRDefault="00832038" w:rsidP="00832038">
      <w:pPr>
        <w:pStyle w:val="ListParagraph"/>
        <w:numPr>
          <w:ilvl w:val="0"/>
          <w:numId w:val="82"/>
        </w:numPr>
        <w:rPr>
          <w:lang w:val="en-US"/>
        </w:rPr>
      </w:pPr>
      <w:r w:rsidRPr="00832038">
        <w:rPr>
          <w:lang w:val="en-US"/>
        </w:rPr>
        <w:t>Metrics: Includes patient health outcomes, satisfaction surveys, and quality-adjusted life years (QALYs).</w:t>
      </w:r>
    </w:p>
    <w:p w14:paraId="2C152B6E" w14:textId="77777777" w:rsidR="00832038" w:rsidRPr="00832038" w:rsidRDefault="00832038" w:rsidP="00832038">
      <w:pPr>
        <w:pStyle w:val="ListParagraph"/>
        <w:numPr>
          <w:ilvl w:val="0"/>
          <w:numId w:val="82"/>
        </w:numPr>
        <w:rPr>
          <w:lang w:val="en-US"/>
        </w:rPr>
      </w:pPr>
      <w:r w:rsidRPr="00832038">
        <w:rPr>
          <w:lang w:val="en-US"/>
        </w:rPr>
        <w:t>Integration: Encourages integration of comprehensive clinical data and patient experiences into measurement systems 9.</w:t>
      </w:r>
    </w:p>
    <w:p w14:paraId="432FDC4C" w14:textId="77777777" w:rsidR="00832038" w:rsidRPr="00832038" w:rsidRDefault="00832038" w:rsidP="00832038">
      <w:pPr>
        <w:pStyle w:val="ListParagraph"/>
        <w:numPr>
          <w:ilvl w:val="0"/>
          <w:numId w:val="82"/>
        </w:numPr>
        <w:rPr>
          <w:lang w:val="en-US"/>
        </w:rPr>
      </w:pPr>
      <w:r w:rsidRPr="00832038">
        <w:rPr>
          <w:lang w:val="en-US"/>
        </w:rPr>
        <w:t>Application: Used to drive improvements in care quality and patient safety, often linked to value-based purchasing initiatives 1.</w:t>
      </w:r>
    </w:p>
    <w:p w14:paraId="1E233870" w14:textId="77777777" w:rsidR="00832038" w:rsidRPr="00832038" w:rsidRDefault="00832038" w:rsidP="00832038">
      <w:pPr>
        <w:pStyle w:val="ListParagraph"/>
        <w:numPr>
          <w:ilvl w:val="0"/>
          <w:numId w:val="82"/>
        </w:numPr>
        <w:rPr>
          <w:lang w:val="en-US"/>
        </w:rPr>
      </w:pPr>
      <w:r w:rsidRPr="00832038">
        <w:rPr>
          <w:lang w:val="en-US"/>
        </w:rPr>
        <w:t>Challenges: Requires robust clinical data and may be hindered by the availability of meaningful metrics to accurately reflect care quality 2.</w:t>
      </w:r>
    </w:p>
    <w:p w14:paraId="4838D895" w14:textId="77777777" w:rsidR="00832038" w:rsidRPr="00832038" w:rsidRDefault="00832038" w:rsidP="00832038">
      <w:pPr>
        <w:pStyle w:val="ListParagraph"/>
        <w:numPr>
          <w:ilvl w:val="0"/>
          <w:numId w:val="82"/>
        </w:numPr>
        <w:rPr>
          <w:lang w:val="en-US"/>
        </w:rPr>
      </w:pPr>
      <w:r w:rsidRPr="00832038">
        <w:rPr>
          <w:lang w:val="en-US"/>
        </w:rPr>
        <w:t>Perspective Influence: More aligned with consumer and patient perspectives, focusing on outcomes that matter to patients 1.</w:t>
      </w:r>
    </w:p>
    <w:p w14:paraId="47D9B94D" w14:textId="77777777" w:rsidR="00832038" w:rsidRPr="00832038" w:rsidRDefault="00832038" w:rsidP="00832038">
      <w:pPr>
        <w:pStyle w:val="ListParagraph"/>
        <w:numPr>
          <w:ilvl w:val="0"/>
          <w:numId w:val="82"/>
        </w:numPr>
        <w:rPr>
          <w:lang w:val="en-US"/>
        </w:rPr>
      </w:pPr>
      <w:r w:rsidRPr="00832038">
        <w:rPr>
          <w:lang w:val="en-US"/>
        </w:rPr>
        <w:t>Example Measures: Patient-reported outcomes, readmission rates based on patient satisfaction and care effectiveness 4.</w:t>
      </w:r>
    </w:p>
    <w:p w14:paraId="06A68B67" w14:textId="77777777" w:rsidR="00832038" w:rsidRPr="00832038" w:rsidRDefault="00832038" w:rsidP="00832038">
      <w:pPr>
        <w:rPr>
          <w:lang w:val="en-US"/>
        </w:rPr>
      </w:pPr>
      <w:r w:rsidRPr="00832038">
        <w:rPr>
          <w:lang w:val="en-US"/>
        </w:rPr>
        <w:t>Key Differences</w:t>
      </w:r>
    </w:p>
    <w:p w14:paraId="3E3EAC62" w14:textId="77777777" w:rsidR="00832038" w:rsidRPr="00832038" w:rsidRDefault="00832038" w:rsidP="00832038">
      <w:pPr>
        <w:pStyle w:val="ListParagraph"/>
        <w:numPr>
          <w:ilvl w:val="0"/>
          <w:numId w:val="83"/>
        </w:numPr>
        <w:rPr>
          <w:lang w:val="en-US"/>
        </w:rPr>
      </w:pPr>
      <w:r w:rsidRPr="00832038">
        <w:rPr>
          <w:lang w:val="en-US"/>
        </w:rPr>
        <w:t>Measurement Focus: Cost-based measurement is primarily financial, while value-based measurement is outcome-oriented.</w:t>
      </w:r>
    </w:p>
    <w:p w14:paraId="05680DC3" w14:textId="77777777" w:rsidR="00832038" w:rsidRPr="00832038" w:rsidRDefault="00832038" w:rsidP="00832038">
      <w:pPr>
        <w:pStyle w:val="ListParagraph"/>
        <w:numPr>
          <w:ilvl w:val="0"/>
          <w:numId w:val="83"/>
        </w:numPr>
        <w:rPr>
          <w:lang w:val="en-US"/>
        </w:rPr>
      </w:pPr>
      <w:r w:rsidRPr="00832038">
        <w:rPr>
          <w:lang w:val="en-US"/>
        </w:rPr>
        <w:t>Data Utilization: Cost-based relies heavily on administrative data, whereas value-based emphasizes clinical data and patient experiences.</w:t>
      </w:r>
    </w:p>
    <w:p w14:paraId="03E4A35F" w14:textId="77777777" w:rsidR="00832038" w:rsidRPr="00832038" w:rsidRDefault="00832038" w:rsidP="00832038">
      <w:pPr>
        <w:pStyle w:val="ListParagraph"/>
        <w:numPr>
          <w:ilvl w:val="0"/>
          <w:numId w:val="83"/>
        </w:numPr>
        <w:rPr>
          <w:lang w:val="en-US"/>
        </w:rPr>
      </w:pPr>
      <w:r w:rsidRPr="00832038">
        <w:rPr>
          <w:lang w:val="en-US"/>
        </w:rPr>
        <w:t>Stakeholder Perspective: Cost-based is more provider-centric, while value-based aligns with patient and consumer interests.</w:t>
      </w:r>
    </w:p>
    <w:p w14:paraId="755C2975" w14:textId="77777777" w:rsidR="00832038" w:rsidRPr="00832038" w:rsidRDefault="00832038" w:rsidP="00832038">
      <w:pPr>
        <w:pStyle w:val="ListParagraph"/>
        <w:numPr>
          <w:ilvl w:val="0"/>
          <w:numId w:val="83"/>
        </w:numPr>
        <w:rPr>
          <w:lang w:val="en-US"/>
        </w:rPr>
      </w:pPr>
      <w:r w:rsidRPr="00832038">
        <w:rPr>
          <w:lang w:val="en-US"/>
        </w:rPr>
        <w:t>Impact on Care: Cost-based approaches can risk reducing care quality through cost-cutting, while value-based approaches aim to enhance care quality and patient outcomes through comprehensive evaluation metrics.</w:t>
      </w:r>
    </w:p>
    <w:p w14:paraId="7F600114" w14:textId="6BAF6550" w:rsidR="00832038" w:rsidRDefault="00832038" w:rsidP="00832038">
      <w:pPr>
        <w:rPr>
          <w:lang w:val="en-US"/>
        </w:rPr>
      </w:pPr>
      <w:r w:rsidRPr="00832038">
        <w:rPr>
          <w:lang w:val="en-US"/>
        </w:rPr>
        <w:t>In summary, while both cost-based and value-based quality measurements aim to enhance healthcare delivery, they operate on fundamentally different principles. The former emphasizes cost savings, potentially at the expense of quality, while the latter focuses on maximizing patient outcomes relative to costs, thereby fostering a more holistic approach to healthcare quality improvement.</w:t>
      </w:r>
    </w:p>
    <w:p w14:paraId="35CEB440" w14:textId="77777777" w:rsidR="00FB65DC" w:rsidRDefault="00FB65DC" w:rsidP="00BE3E99">
      <w:pPr>
        <w:rPr>
          <w:lang w:val="en-US"/>
        </w:rPr>
      </w:pPr>
    </w:p>
    <w:p w14:paraId="0D99FD08" w14:textId="326DF597" w:rsidR="000012DC" w:rsidRDefault="00227D71" w:rsidP="009B6FBE">
      <w:pPr>
        <w:rPr>
          <w:lang w:val="en-US"/>
        </w:rPr>
      </w:pPr>
      <w:r>
        <w:rPr>
          <w:lang w:val="en-US"/>
        </w:rPr>
        <w:t xml:space="preserve">Q3. </w:t>
      </w:r>
      <w:r w:rsidR="00FB65DC" w:rsidRPr="00FB65DC">
        <w:rPr>
          <w:lang w:val="en-US"/>
        </w:rPr>
        <w:t>How is this comparison influenced by the electronic health record?</w:t>
      </w:r>
    </w:p>
    <w:p w14:paraId="6C357026" w14:textId="77777777" w:rsidR="00FB65DC" w:rsidRDefault="00FB65DC" w:rsidP="009B6FBE">
      <w:pPr>
        <w:rPr>
          <w:rStyle w:val="Hyperlink"/>
          <w:color w:val="auto"/>
          <w:u w:val="none"/>
        </w:rPr>
      </w:pPr>
    </w:p>
    <w:p w14:paraId="3E8CA2FB" w14:textId="77777777" w:rsidR="00206D5D" w:rsidRDefault="00AE19D8" w:rsidP="00206D5D">
      <w:pPr>
        <w:rPr>
          <w:rStyle w:val="Hyperlink"/>
          <w:color w:val="auto"/>
          <w:u w:val="none"/>
        </w:rPr>
      </w:pPr>
      <w:r>
        <w:rPr>
          <w:rStyle w:val="Hyperlink"/>
          <w:color w:val="auto"/>
          <w:u w:val="none"/>
        </w:rPr>
        <w:t>References</w:t>
      </w:r>
    </w:p>
    <w:p w14:paraId="777E919B" w14:textId="77777777" w:rsidR="00490AB6" w:rsidRDefault="00490AB6" w:rsidP="00490AB6">
      <w:pPr>
        <w:pStyle w:val="ListParagraph"/>
        <w:numPr>
          <w:ilvl w:val="0"/>
          <w:numId w:val="84"/>
        </w:numPr>
      </w:pPr>
      <w:proofErr w:type="spellStart"/>
      <w:r w:rsidRPr="00490AB6">
        <w:t>Damberg</w:t>
      </w:r>
      <w:proofErr w:type="spellEnd"/>
      <w:r w:rsidRPr="00490AB6">
        <w:t xml:space="preserve"> CL, Baker DW. Improving the Quality of Quality Measurement. J Gen Intern Med. 2016 Apr;31 </w:t>
      </w:r>
      <w:proofErr w:type="spellStart"/>
      <w:r w:rsidRPr="00490AB6">
        <w:t>Suppl</w:t>
      </w:r>
      <w:proofErr w:type="spellEnd"/>
      <w:r w:rsidRPr="00490AB6">
        <w:t xml:space="preserve"> 1(</w:t>
      </w:r>
      <w:proofErr w:type="spellStart"/>
      <w:r w:rsidRPr="00490AB6">
        <w:t>Suppl</w:t>
      </w:r>
      <w:proofErr w:type="spellEnd"/>
      <w:r w:rsidRPr="00490AB6">
        <w:t xml:space="preserve"> 1):8-9. </w:t>
      </w:r>
      <w:proofErr w:type="spellStart"/>
      <w:r w:rsidRPr="00490AB6">
        <w:t>doi</w:t>
      </w:r>
      <w:proofErr w:type="spellEnd"/>
      <w:r w:rsidRPr="00490AB6">
        <w:t>: 10.1007/s11606-015-3577-y. PMID: 26951278; PMCID: PMC4803678.</w:t>
      </w:r>
    </w:p>
    <w:p w14:paraId="18C37AC0" w14:textId="27E42C27" w:rsidR="00F6327A" w:rsidRDefault="00490AB6" w:rsidP="00490AB6">
      <w:pPr>
        <w:pStyle w:val="ListParagraph"/>
        <w:numPr>
          <w:ilvl w:val="0"/>
          <w:numId w:val="84"/>
        </w:numPr>
      </w:pPr>
      <w:r w:rsidRPr="00490AB6">
        <w:t xml:space="preserve">Panzer RJ, </w:t>
      </w:r>
      <w:proofErr w:type="spellStart"/>
      <w:r w:rsidRPr="00490AB6">
        <w:t>Gitomer</w:t>
      </w:r>
      <w:proofErr w:type="spellEnd"/>
      <w:r w:rsidRPr="00490AB6">
        <w:t xml:space="preserve"> RS, Greene WH, Webster PR, Landry KR, </w:t>
      </w:r>
      <w:proofErr w:type="spellStart"/>
      <w:r w:rsidRPr="00490AB6">
        <w:t>Riccobono</w:t>
      </w:r>
      <w:proofErr w:type="spellEnd"/>
      <w:r w:rsidRPr="00490AB6">
        <w:t xml:space="preserve"> CA. Increasing demands for quality measurement. JAMA. 2013 Nov 13;310(18):1971-80. </w:t>
      </w:r>
      <w:proofErr w:type="spellStart"/>
      <w:r w:rsidRPr="00490AB6">
        <w:t>doi</w:t>
      </w:r>
      <w:proofErr w:type="spellEnd"/>
      <w:r w:rsidRPr="00490AB6">
        <w:t>: 10.1001/jama.2013.282047. PMID: 24219953.</w:t>
      </w:r>
    </w:p>
    <w:p w14:paraId="777E8208" w14:textId="00DCB173" w:rsidR="00490AB6" w:rsidRPr="00206D5D" w:rsidRDefault="00490AB6" w:rsidP="00490AB6">
      <w:pPr>
        <w:pStyle w:val="ListParagraph"/>
        <w:numPr>
          <w:ilvl w:val="0"/>
          <w:numId w:val="84"/>
        </w:numPr>
      </w:pPr>
      <w:r w:rsidRPr="00490AB6">
        <w:lastRenderedPageBreak/>
        <w:t xml:space="preserve">Tonner C, </w:t>
      </w:r>
      <w:proofErr w:type="spellStart"/>
      <w:r w:rsidRPr="00490AB6">
        <w:t>Schmajuk</w:t>
      </w:r>
      <w:proofErr w:type="spellEnd"/>
      <w:r w:rsidRPr="00490AB6">
        <w:t xml:space="preserve"> G, </w:t>
      </w:r>
      <w:proofErr w:type="spellStart"/>
      <w:r w:rsidRPr="00490AB6">
        <w:t>Yazdany</w:t>
      </w:r>
      <w:proofErr w:type="spellEnd"/>
      <w:r w:rsidRPr="00490AB6">
        <w:t xml:space="preserve"> J. A new era of quality measurement in rheumatology: electronic clinical quality measures and national registries. </w:t>
      </w:r>
      <w:proofErr w:type="spellStart"/>
      <w:r w:rsidRPr="00490AB6">
        <w:t>Curr</w:t>
      </w:r>
      <w:proofErr w:type="spellEnd"/>
      <w:r w:rsidRPr="00490AB6">
        <w:t xml:space="preserve"> </w:t>
      </w:r>
      <w:proofErr w:type="spellStart"/>
      <w:r w:rsidRPr="00490AB6">
        <w:t>Opin</w:t>
      </w:r>
      <w:proofErr w:type="spellEnd"/>
      <w:r w:rsidRPr="00490AB6">
        <w:t xml:space="preserve"> </w:t>
      </w:r>
      <w:proofErr w:type="spellStart"/>
      <w:r w:rsidRPr="00490AB6">
        <w:t>Rheumatol</w:t>
      </w:r>
      <w:proofErr w:type="spellEnd"/>
      <w:r w:rsidRPr="00490AB6">
        <w:t xml:space="preserve">. 2017 Mar;29(2):131-137. </w:t>
      </w:r>
      <w:proofErr w:type="spellStart"/>
      <w:r w:rsidRPr="00490AB6">
        <w:t>doi</w:t>
      </w:r>
      <w:proofErr w:type="spellEnd"/>
      <w:r w:rsidRPr="00490AB6">
        <w:t>: 10.1097/BOR.0000000000000364. PMID: 27941392; PMCID: PMC5538369.</w:t>
      </w:r>
    </w:p>
    <w:sectPr w:rsidR="00490AB6" w:rsidRPr="0020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51D7D"/>
    <w:multiLevelType w:val="hybridMultilevel"/>
    <w:tmpl w:val="1AB62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18F444A"/>
    <w:multiLevelType w:val="hybridMultilevel"/>
    <w:tmpl w:val="38F22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A04E44"/>
    <w:multiLevelType w:val="hybridMultilevel"/>
    <w:tmpl w:val="BE427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4B80B4E"/>
    <w:multiLevelType w:val="hybridMultilevel"/>
    <w:tmpl w:val="C13CC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806D58"/>
    <w:multiLevelType w:val="hybridMultilevel"/>
    <w:tmpl w:val="49C21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277C7463"/>
    <w:multiLevelType w:val="hybridMultilevel"/>
    <w:tmpl w:val="95D6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9D75070"/>
    <w:multiLevelType w:val="hybridMultilevel"/>
    <w:tmpl w:val="270C4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1890357"/>
    <w:multiLevelType w:val="hybridMultilevel"/>
    <w:tmpl w:val="B170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35BE7924"/>
    <w:multiLevelType w:val="hybridMultilevel"/>
    <w:tmpl w:val="5F1C2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7B31973"/>
    <w:multiLevelType w:val="hybridMultilevel"/>
    <w:tmpl w:val="0278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29D45E7"/>
    <w:multiLevelType w:val="hybridMultilevel"/>
    <w:tmpl w:val="F19E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4C326A0"/>
    <w:multiLevelType w:val="hybridMultilevel"/>
    <w:tmpl w:val="BE427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5F755ED"/>
    <w:multiLevelType w:val="hybridMultilevel"/>
    <w:tmpl w:val="7CD2F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4D086C23"/>
    <w:multiLevelType w:val="hybridMultilevel"/>
    <w:tmpl w:val="B0FAD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2E315AC"/>
    <w:multiLevelType w:val="hybridMultilevel"/>
    <w:tmpl w:val="FBC0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5436762C"/>
    <w:multiLevelType w:val="hybridMultilevel"/>
    <w:tmpl w:val="9A90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5C91A46"/>
    <w:multiLevelType w:val="hybridMultilevel"/>
    <w:tmpl w:val="3BC8F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63C625B"/>
    <w:multiLevelType w:val="hybridMultilevel"/>
    <w:tmpl w:val="1B60B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90D5453"/>
    <w:multiLevelType w:val="hybridMultilevel"/>
    <w:tmpl w:val="81EA5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AC6792B"/>
    <w:multiLevelType w:val="hybridMultilevel"/>
    <w:tmpl w:val="6EFE7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2C9622E"/>
    <w:multiLevelType w:val="hybridMultilevel"/>
    <w:tmpl w:val="768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8FC268A"/>
    <w:multiLevelType w:val="hybridMultilevel"/>
    <w:tmpl w:val="8BD0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C1D4A1B"/>
    <w:multiLevelType w:val="hybridMultilevel"/>
    <w:tmpl w:val="7B98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15:restartNumberingAfterBreak="0">
    <w:nsid w:val="7F8979F6"/>
    <w:multiLevelType w:val="hybridMultilevel"/>
    <w:tmpl w:val="6C22B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77"/>
  </w:num>
  <w:num w:numId="2" w16cid:durableId="993337480">
    <w:abstractNumId w:val="25"/>
  </w:num>
  <w:num w:numId="3" w16cid:durableId="2090616221">
    <w:abstractNumId w:val="20"/>
  </w:num>
  <w:num w:numId="4" w16cid:durableId="607009886">
    <w:abstractNumId w:val="15"/>
  </w:num>
  <w:num w:numId="5" w16cid:durableId="1560439889">
    <w:abstractNumId w:val="39"/>
  </w:num>
  <w:num w:numId="6" w16cid:durableId="6451126">
    <w:abstractNumId w:val="4"/>
  </w:num>
  <w:num w:numId="7" w16cid:durableId="136731782">
    <w:abstractNumId w:val="30"/>
  </w:num>
  <w:num w:numId="8" w16cid:durableId="8677427">
    <w:abstractNumId w:val="53"/>
  </w:num>
  <w:num w:numId="9" w16cid:durableId="824928375">
    <w:abstractNumId w:val="18"/>
  </w:num>
  <w:num w:numId="10" w16cid:durableId="629828429">
    <w:abstractNumId w:val="60"/>
  </w:num>
  <w:num w:numId="11" w16cid:durableId="715469066">
    <w:abstractNumId w:val="29"/>
  </w:num>
  <w:num w:numId="12" w16cid:durableId="30614854">
    <w:abstractNumId w:val="58"/>
  </w:num>
  <w:num w:numId="13" w16cid:durableId="967197595">
    <w:abstractNumId w:val="38"/>
  </w:num>
  <w:num w:numId="14" w16cid:durableId="1370690544">
    <w:abstractNumId w:val="6"/>
  </w:num>
  <w:num w:numId="15" w16cid:durableId="747730047">
    <w:abstractNumId w:val="68"/>
  </w:num>
  <w:num w:numId="16" w16cid:durableId="851918807">
    <w:abstractNumId w:val="46"/>
  </w:num>
  <w:num w:numId="17" w16cid:durableId="1720283918">
    <w:abstractNumId w:val="23"/>
  </w:num>
  <w:num w:numId="18" w16cid:durableId="289362522">
    <w:abstractNumId w:val="7"/>
  </w:num>
  <w:num w:numId="19" w16cid:durableId="1556159352">
    <w:abstractNumId w:val="17"/>
  </w:num>
  <w:num w:numId="20" w16cid:durableId="1582831904">
    <w:abstractNumId w:val="11"/>
  </w:num>
  <w:num w:numId="21" w16cid:durableId="995838412">
    <w:abstractNumId w:val="56"/>
  </w:num>
  <w:num w:numId="22" w16cid:durableId="1845121826">
    <w:abstractNumId w:val="0"/>
  </w:num>
  <w:num w:numId="23" w16cid:durableId="902982710">
    <w:abstractNumId w:val="12"/>
  </w:num>
  <w:num w:numId="24" w16cid:durableId="1112550086">
    <w:abstractNumId w:val="21"/>
  </w:num>
  <w:num w:numId="25" w16cid:durableId="1000810173">
    <w:abstractNumId w:val="55"/>
  </w:num>
  <w:num w:numId="26" w16cid:durableId="8605982">
    <w:abstractNumId w:val="24"/>
  </w:num>
  <w:num w:numId="27" w16cid:durableId="1599487426">
    <w:abstractNumId w:val="72"/>
  </w:num>
  <w:num w:numId="28" w16cid:durableId="769082637">
    <w:abstractNumId w:val="44"/>
  </w:num>
  <w:num w:numId="29" w16cid:durableId="571083746">
    <w:abstractNumId w:val="1"/>
  </w:num>
  <w:num w:numId="30" w16cid:durableId="537082964">
    <w:abstractNumId w:val="8"/>
  </w:num>
  <w:num w:numId="31" w16cid:durableId="1651981149">
    <w:abstractNumId w:val="22"/>
  </w:num>
  <w:num w:numId="32" w16cid:durableId="586161238">
    <w:abstractNumId w:val="50"/>
  </w:num>
  <w:num w:numId="33" w16cid:durableId="1802965540">
    <w:abstractNumId w:val="54"/>
  </w:num>
  <w:num w:numId="34" w16cid:durableId="136995381">
    <w:abstractNumId w:val="5"/>
  </w:num>
  <w:num w:numId="35" w16cid:durableId="979379462">
    <w:abstractNumId w:val="83"/>
  </w:num>
  <w:num w:numId="36" w16cid:durableId="267352655">
    <w:abstractNumId w:val="81"/>
  </w:num>
  <w:num w:numId="37" w16cid:durableId="1942881831">
    <w:abstractNumId w:val="34"/>
  </w:num>
  <w:num w:numId="38" w16cid:durableId="2008436316">
    <w:abstractNumId w:val="51"/>
  </w:num>
  <w:num w:numId="39" w16cid:durableId="1595823621">
    <w:abstractNumId w:val="45"/>
  </w:num>
  <w:num w:numId="40" w16cid:durableId="1467698869">
    <w:abstractNumId w:val="28"/>
  </w:num>
  <w:num w:numId="41" w16cid:durableId="2140802150">
    <w:abstractNumId w:val="14"/>
  </w:num>
  <w:num w:numId="42" w16cid:durableId="1087772612">
    <w:abstractNumId w:val="40"/>
  </w:num>
  <w:num w:numId="43" w16cid:durableId="165248384">
    <w:abstractNumId w:val="61"/>
  </w:num>
  <w:num w:numId="44" w16cid:durableId="307788535">
    <w:abstractNumId w:val="32"/>
  </w:num>
  <w:num w:numId="45" w16cid:durableId="864706643">
    <w:abstractNumId w:val="31"/>
  </w:num>
  <w:num w:numId="46" w16cid:durableId="1325621130">
    <w:abstractNumId w:val="2"/>
  </w:num>
  <w:num w:numId="47" w16cid:durableId="386955277">
    <w:abstractNumId w:val="59"/>
  </w:num>
  <w:num w:numId="48" w16cid:durableId="2115708824">
    <w:abstractNumId w:val="19"/>
  </w:num>
  <w:num w:numId="49" w16cid:durableId="494420779">
    <w:abstractNumId w:val="80"/>
  </w:num>
  <w:num w:numId="50" w16cid:durableId="1889410649">
    <w:abstractNumId w:val="71"/>
  </w:num>
  <w:num w:numId="51" w16cid:durableId="449981472">
    <w:abstractNumId w:val="75"/>
  </w:num>
  <w:num w:numId="52" w16cid:durableId="968046347">
    <w:abstractNumId w:val="67"/>
  </w:num>
  <w:num w:numId="53" w16cid:durableId="1351561780">
    <w:abstractNumId w:val="36"/>
  </w:num>
  <w:num w:numId="54" w16cid:durableId="1783724470">
    <w:abstractNumId w:val="66"/>
  </w:num>
  <w:num w:numId="55" w16cid:durableId="954337116">
    <w:abstractNumId w:val="57"/>
  </w:num>
  <w:num w:numId="56" w16cid:durableId="1014767290">
    <w:abstractNumId w:val="70"/>
  </w:num>
  <w:num w:numId="57" w16cid:durableId="620116046">
    <w:abstractNumId w:val="79"/>
  </w:num>
  <w:num w:numId="58" w16cid:durableId="1708529875">
    <w:abstractNumId w:val="78"/>
  </w:num>
  <w:num w:numId="59" w16cid:durableId="61221330">
    <w:abstractNumId w:val="48"/>
  </w:num>
  <w:num w:numId="60" w16cid:durableId="1643000518">
    <w:abstractNumId w:val="73"/>
  </w:num>
  <w:num w:numId="61" w16cid:durableId="2088335570">
    <w:abstractNumId w:val="49"/>
  </w:num>
  <w:num w:numId="62" w16cid:durableId="1573347273">
    <w:abstractNumId w:val="63"/>
  </w:num>
  <w:num w:numId="63" w16cid:durableId="547955484">
    <w:abstractNumId w:val="9"/>
  </w:num>
  <w:num w:numId="64" w16cid:durableId="187448779">
    <w:abstractNumId w:val="43"/>
  </w:num>
  <w:num w:numId="65" w16cid:durableId="894699707">
    <w:abstractNumId w:val="13"/>
  </w:num>
  <w:num w:numId="66" w16cid:durableId="27074558">
    <w:abstractNumId w:val="16"/>
  </w:num>
  <w:num w:numId="67" w16cid:durableId="420369958">
    <w:abstractNumId w:val="26"/>
  </w:num>
  <w:num w:numId="68" w16cid:durableId="1393307589">
    <w:abstractNumId w:val="47"/>
  </w:num>
  <w:num w:numId="69" w16cid:durableId="1683820542">
    <w:abstractNumId w:val="35"/>
  </w:num>
  <w:num w:numId="70" w16cid:durableId="254438655">
    <w:abstractNumId w:val="41"/>
  </w:num>
  <w:num w:numId="71" w16cid:durableId="313024470">
    <w:abstractNumId w:val="69"/>
  </w:num>
  <w:num w:numId="72" w16cid:durableId="2039162888">
    <w:abstractNumId w:val="62"/>
  </w:num>
  <w:num w:numId="73" w16cid:durableId="683748023">
    <w:abstractNumId w:val="64"/>
  </w:num>
  <w:num w:numId="74" w16cid:durableId="480343372">
    <w:abstractNumId w:val="37"/>
  </w:num>
  <w:num w:numId="75" w16cid:durableId="1906983968">
    <w:abstractNumId w:val="52"/>
  </w:num>
  <w:num w:numId="76" w16cid:durableId="2091077173">
    <w:abstractNumId w:val="82"/>
  </w:num>
  <w:num w:numId="77" w16cid:durableId="1598172373">
    <w:abstractNumId w:val="27"/>
  </w:num>
  <w:num w:numId="78" w16cid:durableId="1618832105">
    <w:abstractNumId w:val="42"/>
  </w:num>
  <w:num w:numId="79" w16cid:durableId="1424450201">
    <w:abstractNumId w:val="10"/>
  </w:num>
  <w:num w:numId="80" w16cid:durableId="432365156">
    <w:abstractNumId w:val="65"/>
  </w:num>
  <w:num w:numId="81" w16cid:durableId="1788961835">
    <w:abstractNumId w:val="3"/>
  </w:num>
  <w:num w:numId="82" w16cid:durableId="457071671">
    <w:abstractNumId w:val="74"/>
  </w:num>
  <w:num w:numId="83" w16cid:durableId="304704156">
    <w:abstractNumId w:val="33"/>
  </w:num>
  <w:num w:numId="84" w16cid:durableId="1607076620">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811D2"/>
    <w:rsid w:val="000A6F30"/>
    <w:rsid w:val="000C49B2"/>
    <w:rsid w:val="000D03C6"/>
    <w:rsid w:val="000F5169"/>
    <w:rsid w:val="000F7B47"/>
    <w:rsid w:val="00104652"/>
    <w:rsid w:val="0011547D"/>
    <w:rsid w:val="00123C59"/>
    <w:rsid w:val="00133076"/>
    <w:rsid w:val="001401B7"/>
    <w:rsid w:val="00142469"/>
    <w:rsid w:val="00191FC8"/>
    <w:rsid w:val="001A6242"/>
    <w:rsid w:val="001C78BB"/>
    <w:rsid w:val="001F5418"/>
    <w:rsid w:val="0020180B"/>
    <w:rsid w:val="00206D5D"/>
    <w:rsid w:val="00227D71"/>
    <w:rsid w:val="00230691"/>
    <w:rsid w:val="00262E0C"/>
    <w:rsid w:val="002B01EB"/>
    <w:rsid w:val="003132EB"/>
    <w:rsid w:val="0031627B"/>
    <w:rsid w:val="003437E5"/>
    <w:rsid w:val="00345AD9"/>
    <w:rsid w:val="00357824"/>
    <w:rsid w:val="00397E67"/>
    <w:rsid w:val="003A452B"/>
    <w:rsid w:val="004054CD"/>
    <w:rsid w:val="0042079D"/>
    <w:rsid w:val="00467E19"/>
    <w:rsid w:val="0047513B"/>
    <w:rsid w:val="00486603"/>
    <w:rsid w:val="00490AB6"/>
    <w:rsid w:val="00496AFA"/>
    <w:rsid w:val="004C6A46"/>
    <w:rsid w:val="004C784C"/>
    <w:rsid w:val="00556E98"/>
    <w:rsid w:val="0058582E"/>
    <w:rsid w:val="005872C8"/>
    <w:rsid w:val="00614194"/>
    <w:rsid w:val="00623B84"/>
    <w:rsid w:val="00636089"/>
    <w:rsid w:val="0064037E"/>
    <w:rsid w:val="00651D87"/>
    <w:rsid w:val="00652D08"/>
    <w:rsid w:val="006810C9"/>
    <w:rsid w:val="006B12E8"/>
    <w:rsid w:val="006C27A8"/>
    <w:rsid w:val="006D6BDE"/>
    <w:rsid w:val="00714355"/>
    <w:rsid w:val="00726CEB"/>
    <w:rsid w:val="00732659"/>
    <w:rsid w:val="00771572"/>
    <w:rsid w:val="00795685"/>
    <w:rsid w:val="00796999"/>
    <w:rsid w:val="007B4672"/>
    <w:rsid w:val="00827EA2"/>
    <w:rsid w:val="00832038"/>
    <w:rsid w:val="0083405E"/>
    <w:rsid w:val="00835275"/>
    <w:rsid w:val="008539C4"/>
    <w:rsid w:val="008A4510"/>
    <w:rsid w:val="008C025D"/>
    <w:rsid w:val="008E3FE3"/>
    <w:rsid w:val="00934E11"/>
    <w:rsid w:val="00961FD5"/>
    <w:rsid w:val="00965937"/>
    <w:rsid w:val="00986734"/>
    <w:rsid w:val="009A0D1C"/>
    <w:rsid w:val="009B6FBE"/>
    <w:rsid w:val="009C3C5B"/>
    <w:rsid w:val="00A042E7"/>
    <w:rsid w:val="00A047BD"/>
    <w:rsid w:val="00A11696"/>
    <w:rsid w:val="00A12A82"/>
    <w:rsid w:val="00A40157"/>
    <w:rsid w:val="00A66E19"/>
    <w:rsid w:val="00A74C96"/>
    <w:rsid w:val="00AB5F07"/>
    <w:rsid w:val="00AC6DD1"/>
    <w:rsid w:val="00AD4959"/>
    <w:rsid w:val="00AD7B26"/>
    <w:rsid w:val="00AE0538"/>
    <w:rsid w:val="00AE19D8"/>
    <w:rsid w:val="00AF210A"/>
    <w:rsid w:val="00B154CE"/>
    <w:rsid w:val="00B34E95"/>
    <w:rsid w:val="00B9309F"/>
    <w:rsid w:val="00BD0426"/>
    <w:rsid w:val="00BD2FE8"/>
    <w:rsid w:val="00BE3E99"/>
    <w:rsid w:val="00BE61AB"/>
    <w:rsid w:val="00BE652E"/>
    <w:rsid w:val="00BF2904"/>
    <w:rsid w:val="00C0723B"/>
    <w:rsid w:val="00C14834"/>
    <w:rsid w:val="00C34EC6"/>
    <w:rsid w:val="00C52B0A"/>
    <w:rsid w:val="00C554A9"/>
    <w:rsid w:val="00C7613C"/>
    <w:rsid w:val="00C95DE7"/>
    <w:rsid w:val="00CB3B16"/>
    <w:rsid w:val="00CB461B"/>
    <w:rsid w:val="00CB6C8B"/>
    <w:rsid w:val="00CC08DF"/>
    <w:rsid w:val="00D05113"/>
    <w:rsid w:val="00D21372"/>
    <w:rsid w:val="00D23E12"/>
    <w:rsid w:val="00D40EDE"/>
    <w:rsid w:val="00D53F44"/>
    <w:rsid w:val="00D63924"/>
    <w:rsid w:val="00D855CB"/>
    <w:rsid w:val="00D915A4"/>
    <w:rsid w:val="00DD081C"/>
    <w:rsid w:val="00E0225D"/>
    <w:rsid w:val="00E03CA9"/>
    <w:rsid w:val="00E0568C"/>
    <w:rsid w:val="00E3499D"/>
    <w:rsid w:val="00E56E8D"/>
    <w:rsid w:val="00E77D6C"/>
    <w:rsid w:val="00EA12DB"/>
    <w:rsid w:val="00EA2969"/>
    <w:rsid w:val="00EA2B1F"/>
    <w:rsid w:val="00EB3D91"/>
    <w:rsid w:val="00EB552C"/>
    <w:rsid w:val="00EC5507"/>
    <w:rsid w:val="00EF2BC9"/>
    <w:rsid w:val="00F04DED"/>
    <w:rsid w:val="00F41EDE"/>
    <w:rsid w:val="00F51B2C"/>
    <w:rsid w:val="00F6327A"/>
    <w:rsid w:val="00F723DE"/>
    <w:rsid w:val="00F75A5B"/>
    <w:rsid w:val="00F840AA"/>
    <w:rsid w:val="00F877F2"/>
    <w:rsid w:val="00F95636"/>
    <w:rsid w:val="00FA048E"/>
    <w:rsid w:val="00FB06C0"/>
    <w:rsid w:val="00FB65DC"/>
    <w:rsid w:val="00FE16C5"/>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85060959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5</cp:revision>
  <dcterms:created xsi:type="dcterms:W3CDTF">2025-04-15T19:12:00Z</dcterms:created>
  <dcterms:modified xsi:type="dcterms:W3CDTF">2025-04-15T19:32:00Z</dcterms:modified>
</cp:coreProperties>
</file>