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48"/>
          <w:szCs w:val="48"/>
          <w:rtl w:val="0"/>
        </w:rPr>
        <w:t xml:space="preserve">Weeks 13 &amp; 14 Overview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color w:val="1f497d"/>
          <w:sz w:val="22"/>
          <w:szCs w:val="22"/>
        </w:rPr>
      </w:pPr>
      <w:bookmarkStart w:colFirst="0" w:colLast="0" w:name="_ssiq2yhefyyt" w:id="1"/>
      <w:bookmarkEnd w:id="1"/>
      <w:r w:rsidDel="00000000" w:rsidR="00000000" w:rsidRPr="00000000">
        <w:rPr>
          <w:color w:val="1f497d"/>
          <w:sz w:val="22"/>
          <w:szCs w:val="22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"/>
          <w:szCs w:val="24"/>
          <w:rtl w:val="0"/>
        </w:rPr>
        <w:t xml:space="preserve">QUICK LINKS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ab/>
        <w:tab/>
      </w:r>
      <w:hyperlink w:anchor="30j0zll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Study Guide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</w:r>
      <w:hyperlink w:anchor="3dy6vkm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Objectives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w:anchor="4d34og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bookmarkStart w:colFirst="0" w:colLast="0" w:name="30j0zll" w:id="2"/>
    <w:bookmarkEnd w:id="2"/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Study Guide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1f497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3znysh7" w:id="4"/>
            <w:bookmarkEnd w:id="4"/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Welcome to Weeks 13 &amp; 14 of Understanding Patient Data!</w:t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Types of Measurements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Predictive Analytics and The Challenges to Understanding Patient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2et92p0" w:id="5"/>
            <w:bookmarkEnd w:id="5"/>
            <w:r w:rsidDel="00000000" w:rsidR="00000000" w:rsidRPr="00000000">
              <w:rPr>
                <w:rtl w:val="0"/>
              </w:rPr>
              <w:t xml:space="preserve">Reminders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Discussion Rubric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 grading criteria.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Please review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Rowan University Academic Integrity Policy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assignment will be accepted for submission after the last day of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tyjcwt" w:id="6"/>
            <w:bookmarkEnd w:id="6"/>
            <w:r w:rsidDel="00000000" w:rsidR="00000000" w:rsidRPr="00000000">
              <w:rPr>
                <w:rtl w:val="0"/>
              </w:rPr>
              <w:t xml:space="preserve">Due Dates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DQ 10: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initial post is due by 11:59 PM ET on Saturday of Week 13.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reply posts are due by 11:59 PM ET on Monday of Week 13.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Assignment 3 - Mini-Data Project: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1"/>
                <w:numId w:val="12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 the completed project by 11:59 PM ET on Monday of Week 14.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jc w:val="right"/>
        <w:rPr>
          <w:rFonts w:ascii="Calibri" w:cs="Calibri" w:eastAsia="Calibri" w:hAnsi="Calibri"/>
        </w:rPr>
      </w:pPr>
      <w:hyperlink w:anchor="_gjdgxs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dy6vkm" w:id="7"/>
    <w:bookmarkEnd w:id="7"/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tabs>
          <w:tab w:val="left" w:leader="none" w:pos="72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student will be able to research and select types of measures to report.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tabs>
          <w:tab w:val="left" w:leader="none" w:pos="72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student will be able to contemplate the future of predictive analytics and recognize challenges of working with patient data.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20"/>
        </w:tabs>
        <w:ind w:left="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Calibri" w:cs="Calibri" w:eastAsia="Calibri" w:hAnsi="Calibri"/>
          <w:sz w:val="20"/>
          <w:szCs w:val="20"/>
        </w:rPr>
      </w:pPr>
      <w:hyperlink w:anchor="_gjdgxs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d34og8" w:id="9"/>
    <w:bookmarkEnd w:id="9"/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5">
      <w:pPr>
        <w:pageBreakBefore w:val="0"/>
        <w:spacing w:after="0" w:before="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13</w:t>
      </w:r>
    </w:p>
    <w:p w:rsidR="00000000" w:rsidDel="00000000" w:rsidP="00000000" w:rsidRDefault="00000000" w:rsidRPr="00000000" w14:paraId="00000027">
      <w:pPr>
        <w:pageBreakBefore w:val="0"/>
        <w:spacing w:after="0" w:before="0" w:line="240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text(s):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Strome, T. (2013). Chapter 10 – Usability and presentation of information (pp.165-181). In T. L. Strome,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Healthcare analytics for quality and performance improvement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Hoboken, NJ: Wiley Publishers.</w:t>
      </w:r>
    </w:p>
    <w:p w:rsidR="00000000" w:rsidDel="00000000" w:rsidP="00000000" w:rsidRDefault="00000000" w:rsidRPr="00000000" w14:paraId="0000002A">
      <w:pPr>
        <w:pageBreakBefore w:val="0"/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articles: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pacing w:after="0" w:before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Lazar, E. J., Fleischut, P., &amp; Regan, B. K. (2013). Quality measurement in healthcare.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Annual Review of Medicine, 64(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1), 485-496. doi:10.1146/annurev-med-061511-135544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Rumsfeld, J. S., Joynt, K. E., Maddox, T. M. (2016). Big data analytics to improve cardiovascular care: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challenges.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Nature Reviews Cardiology,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13(6), 350-359. doi:10.1038/nrcardio.2016.42</w:t>
      </w:r>
    </w:p>
    <w:p w:rsidR="00000000" w:rsidDel="00000000" w:rsidP="00000000" w:rsidRDefault="00000000" w:rsidRPr="00000000" w14:paraId="0000002E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 following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Lecture/Voice over PowerPoint: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0"/>
        </w:numPr>
        <w:spacing w:after="0" w:before="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Lecture 7 -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Reporting Measures and Predictive Analytics</w:t>
      </w:r>
    </w:p>
    <w:p w:rsidR="00000000" w:rsidDel="00000000" w:rsidP="00000000" w:rsidRDefault="00000000" w:rsidRPr="00000000" w14:paraId="00000031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 10.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to the question(s) below for your initial post on the DQ 10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iscussion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oard. Support your responses with a referenced rationale.</w:t>
      </w:r>
    </w:p>
    <w:p w:rsidR="00000000" w:rsidDel="00000000" w:rsidP="00000000" w:rsidRDefault="00000000" w:rsidRPr="00000000" w14:paraId="00000033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explain the four (4) categories of quality measures.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one quality indicator that represents each of the four categories.</w:t>
      </w:r>
    </w:p>
    <w:p w:rsidR="00000000" w:rsidDel="00000000" w:rsidP="00000000" w:rsidRDefault="00000000" w:rsidRPr="00000000" w14:paraId="00000036">
      <w:pPr>
        <w:pageBreakBefore w:val="0"/>
        <w:spacing w:after="0" w:before="0" w:line="240" w:lineRule="auto"/>
        <w:ind w:left="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your initial response by 11:59 pm Saturday. Then, respond to at least three (3) of your peers’ posts on two (2) separate days by 11:59 pm Monday, when the discussion board closes.</w:t>
      </w:r>
    </w:p>
    <w:p w:rsidR="00000000" w:rsidDel="00000000" w:rsidP="00000000" w:rsidRDefault="00000000" w:rsidRPr="00000000" w14:paraId="00000038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b w:val="1"/>
          <w:color w:val="cc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Please be sure to reference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Discussion Questions Guide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Assignment Outline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section of the syllabus for further details.</w:t>
      </w:r>
    </w:p>
    <w:p w:rsidR="00000000" w:rsidDel="00000000" w:rsidP="00000000" w:rsidRDefault="00000000" w:rsidRPr="00000000" w14:paraId="0000003A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IMPORTANT: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Each student is expected to work on this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within the confines of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University Academic Integrity Policy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(see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www.rowanonline.com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University policy details).</w:t>
      </w:r>
    </w:p>
    <w:p w:rsidR="00000000" w:rsidDel="00000000" w:rsidP="00000000" w:rsidRDefault="00000000" w:rsidRPr="00000000" w14:paraId="0000003C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14</w:t>
      </w:r>
    </w:p>
    <w:p w:rsidR="00000000" w:rsidDel="00000000" w:rsidP="00000000" w:rsidRDefault="00000000" w:rsidRPr="00000000" w14:paraId="0000003F">
      <w:pPr>
        <w:pageBreakBefore w:val="0"/>
        <w:spacing w:after="0" w:before="0" w:line="240" w:lineRule="auto"/>
        <w:ind w:left="0" w:firstLine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text(s):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Strome, T. (2013). Chapter 11 – Advanced analytics in healthcare (pp. 183-204). In T. L. Strome,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Healthcare analytics for quality and performance improvement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Hoboken, NJ: Wiley Publishers.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Brown, M. S. (2014). Chapters 17 – Mining data for cues (pp. 295-306). In M. S. Brown,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Data mining for dummies.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Hoboken, NJ: Wiley Publishers.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Brown, M. S. (2014). Chapters 18 – Expanding your horizons (pp.307-318). In M. S. Brown,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mining for dummies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Hoboken, NJ: Wiley Publishers.</w:t>
      </w:r>
    </w:p>
    <w:p w:rsidR="00000000" w:rsidDel="00000000" w:rsidP="00000000" w:rsidRDefault="00000000" w:rsidRPr="00000000" w14:paraId="00000044">
      <w:pPr>
        <w:pageBreakBefore w:val="0"/>
        <w:spacing w:after="0" w:before="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articles: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Brennan, N., Oelschaeger, A., Cox, C., &amp; Tavenner, M. (2014). Leveraging the big data revolution: CMS is expanding capabilities to spur health system transformation.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Health Affairs, 33(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7), 1195-1202. doi:10.1377/hlthaff.2014.0130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Drazen, J. M. (2015). Sharing individual patient data from clinical trials.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New England Journal of Medicine, 372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(3), 201-202. doi:10.1056/NEJMp1415160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McGlothlin, J. P., Vedire, S., Crawford, E., Pappas, J., Bruneau, B., &amp; Obregon, L. (2016). Improving patient care through analytics.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2016 4</w:t>
      </w:r>
      <w:r w:rsidDel="00000000" w:rsidR="00000000" w:rsidRPr="00000000">
        <w:rPr>
          <w:rFonts w:ascii="Calibri" w:cs="Calibri" w:eastAsia="Calibri" w:hAnsi="Calibri"/>
          <w:i w:val="1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International Symposium on Computational and Business Intelligence (ISCBI),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94-100.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doi: 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10.1109/ISCBI.2016.7743265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Vasiljeva, I., &amp; Arandjelovíc, O.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(2016). Towards sophisticated learning from ERHs: Learning prediction specificity and accuracy using clinically meaningful risk criteria.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38th Annual International Conference of the IEEE Engineering in Medicine and Biology Society (EMBC),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2452-2455.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doi: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10.1109/EMBC.2016.7591226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 the following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Lecture/Voice over PowerPoint: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spacing w:after="0" w:before="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Lecture 8.1 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Challenges to understanding patient data</w:t>
      </w:r>
    </w:p>
    <w:p w:rsidR="00000000" w:rsidDel="00000000" w:rsidP="00000000" w:rsidRDefault="00000000" w:rsidRPr="00000000" w14:paraId="0000004D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3 -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Mini-Data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student will demonstrate a synthesis of the knowledge gained in this course by producing a mini-data project that reflects knowledge of patient data, analysis and the types of software used.</w:t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Assignment 3 Instructions.pdf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details (located in this week’s module).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rPr>
          <w:rFonts w:ascii="Calibri" w:cs="Calibri" w:eastAsia="Calibri" w:hAnsi="Calibri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REMINDER: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When a student submits a writing assignment, their work will be submitted to a plagiarism prevention tool (Turnitin)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See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Rowan Online Standard Policies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more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rtl w:val="0"/>
        </w:rPr>
        <w:t xml:space="preserve">IMPORTANT: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Each student is expected to work on this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within the confines of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University Academic Integrity Policy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(see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www.rowanonline.com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University policy details).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485"/>
        <w:gridCol w:w="1890"/>
        <w:tblGridChange w:id="0">
          <w:tblGrid>
            <w:gridCol w:w="7485"/>
            <w:gridCol w:w="18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8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Assignment 3 - Mini-Data Project Grading Rubric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Final Grade Points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3dfee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 of Data is Healthcare/Medical/Medicine Research including Copy of the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3dfee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Collection and Sources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3dfee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Wrangling/Cleaning and Code/Formulas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3dfee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Analysis: Methods and Relevant Questions/Answers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3dfee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Dictionary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3dfee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>
          <w:rFonts w:ascii="Calibri" w:cs="Calibri" w:eastAsia="Calibri" w:hAnsi="Calibri"/>
          <w:color w:val="000099"/>
          <w:sz w:val="20"/>
          <w:szCs w:val="20"/>
          <w:u w:val="single"/>
        </w:rPr>
      </w:pPr>
      <w:hyperlink w:anchor="_gjdgxs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900" w:top="1620" w:left="1440" w:right="1440" w:header="504" w:footer="5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libri" w:cs="Calibri" w:eastAsia="Calibri" w:hAnsi="Calibri"/>
        <w:sz w:val="18"/>
        <w:szCs w:val="18"/>
      </w:rPr>
    </w:pPr>
    <w:hyperlink r:id="rId1">
      <w:r w:rsidDel="00000000" w:rsidR="00000000" w:rsidRPr="00000000">
        <w:rPr>
          <w:rFonts w:ascii="Calibri" w:cs="Calibri" w:eastAsia="Calibri" w:hAnsi="Calibri"/>
          <w:color w:val="1155cc"/>
          <w:sz w:val="16"/>
          <w:szCs w:val="16"/>
          <w:u w:val="single"/>
          <w:rtl w:val="0"/>
        </w:rPr>
        <w:t xml:space="preserve">Rowan Online</w:t>
      </w:r>
    </w:hyperlink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99999"/>
        <w:sz w:val="16"/>
        <w:szCs w:val="16"/>
        <w:rtl w:val="0"/>
      </w:rPr>
      <w:t xml:space="preserve">| </w:t>
    </w:r>
    <w:hyperlink r:id="rId2">
      <w:r w:rsidDel="00000000" w:rsidR="00000000" w:rsidRPr="00000000">
        <w:rPr>
          <w:rFonts w:ascii="Calibri" w:cs="Calibri" w:eastAsia="Calibri" w:hAnsi="Calibri"/>
          <w:color w:val="1155cc"/>
          <w:sz w:val="16"/>
          <w:szCs w:val="16"/>
          <w:u w:val="single"/>
          <w:rtl w:val="0"/>
        </w:rPr>
        <w:t xml:space="preserve">Rowan Global Learning &amp; Partnerships</w:t>
      </w:r>
    </w:hyperlink>
    <w:r w:rsidDel="00000000" w:rsidR="00000000" w:rsidRPr="00000000">
      <w:rPr>
        <w:rFonts w:ascii="Calibri" w:cs="Calibri" w:eastAsia="Calibri" w:hAnsi="Calibri"/>
        <w:color w:val="999999"/>
        <w:sz w:val="16"/>
        <w:szCs w:val="16"/>
        <w:rtl w:val="0"/>
      </w:rPr>
      <w:t xml:space="preserve"> | Weekly Overview | Version 4.1, 2015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ab/>
      <w:tab/>
      <w:tab/>
      <w:tab/>
    </w:r>
    <w:r w:rsidDel="00000000" w:rsidR="00000000" w:rsidRPr="00000000">
      <w:rPr>
        <w:rFonts w:ascii="Calibri" w:cs="Calibri" w:eastAsia="Calibri" w:hAnsi="Calibri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771650" cy="419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1650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rFonts w:ascii="Calibri" w:cs="Calibri" w:eastAsia="Calibri" w:hAnsi="Calibri"/>
      <w:b w:val="1"/>
      <w:color w:val="1f497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jc w:val="center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www.rowanonlin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owanonline.com" TargetMode="External"/><Relationship Id="rId7" Type="http://schemas.openxmlformats.org/officeDocument/2006/relationships/hyperlink" Target="https://doi.org/10.1109/ISCBI.2016.7743265" TargetMode="External"/><Relationship Id="rId8" Type="http://schemas.openxmlformats.org/officeDocument/2006/relationships/hyperlink" Target="https://doi.org/10.1109/EMBC.2016.7591226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rowanonline.com" TargetMode="External"/><Relationship Id="rId2" Type="http://schemas.openxmlformats.org/officeDocument/2006/relationships/hyperlink" Target="http://rowanu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