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Weeks 7 &amp; 8 Overview</w:t>
      </w:r>
      <w:r w:rsidDel="00000000" w:rsidR="00000000" w:rsidRPr="00000000">
        <w:rPr>
          <w:color w:val="1f497d"/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"/>
          <w:szCs w:val="24"/>
          <w:rtl w:val="0"/>
        </w:rPr>
        <w:t xml:space="preserve">QUICK LINKS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</w:r>
      <w:hyperlink w:anchor="30j0zl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Study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</w:r>
      <w:hyperlink w:anchor="3dy6vkm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w:anchor="4d34og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Study Guide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575"/>
        <w:tblGridChange w:id="0">
          <w:tblGrid>
            <w:gridCol w:w="207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to Weeks 7 &amp; 8 of Understanding Patient Data!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Electronic Health Record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Challenges of Data Mining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discussion question due this week.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 to Lecture 3.3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Organizing data sets in excel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assignment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 IT website: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Modern analytics in excel.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Available at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Excel Help &amp;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discussion rubric for grading criteria.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2 –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resentation of heroin-related deaths in New Jersey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the completed assignment via CANVAS LMS, by Monday of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 7 at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11:59 pm.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DQ 6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8.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replies are due by 11:59 PM ET on Monday of Week 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jc w:val="right"/>
        <w:rPr>
          <w:rFonts w:ascii="Calibri" w:cs="Calibri" w:eastAsia="Calibri" w:hAnsi="Calibri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investigate and manage data sets from electronic health record data.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4"/>
        </w:numPr>
        <w:tabs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investigate data sets and identify the challenges of data mining.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sz w:val="20"/>
          <w:szCs w:val="20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7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Hu, Z., Melton, G. B., &amp; Simon, G. J. (2015). Strategies for handling missing data in detecting postoperative surgical site infections.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International Conference in Healthcare Informatics,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499. doi:10.1109/ICHI.2015.89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Post, A. R., Kurc, T., Choleti, S., Gao, J., Lin, X., Borestein, W., … Saltz, J. H. (2013). The analytic information warehouse (AIW): A platform for analytics using electronic health record data.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Biomedical Informatics, 46(3)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410-424. doi:10.1016/j.jbi.2013.01.005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Wallace, I. M. (2016). Is patient confidentiality compromised with the electronic health record?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CIN: Computers, Informatics, Nursing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33(2), 58–62. doi: 10.1097/CIN.0000000000000126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215"/>
        </w:tabs>
        <w:spacing w:after="0" w:before="0" w:line="240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3.3 -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data in excel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health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Presentation: NJ OSME Drug-Related Deaths in NJ Counties</w:t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ind w:left="1440" w:hanging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The student will demonstrate knowledge of data management by: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inspecting and cleaning data.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removing, imputing, and explaining incomplete data entries.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sorting data.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histogram.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displaying scatterplots.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making preliminary inferences.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720"/>
        </w:tabs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Instructions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data from filename: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5.3a Chart on Drug Deaths by NJ County (2015).pdf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all data by county (from the file named above) into an excel spreadsheet (sheet 1).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descriptive statistics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Heroin drug-related deaths. (Hint: The statistical results may display on a new sheet # in the file).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and paste descriptive statistics results from the new sheet # onto sheet 1 with its corresponding data.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descriptive statistics on a second variable of your choice.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Also, cut and paste descriptive statistics results from the new sheet # onto sheet 1 with its corresponding data.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 compare the descriptive statistics of heroin with variable #2 (a variable selected by you) and provide an interpretive statement about the comparison.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sheet 3 of the Excel spreadsheet file, create a copy of the original data from sheet 1. (Omit the Record row for column totals). 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7"/>
        </w:numPr>
        <w:spacing w:after="0" w:before="0" w:lin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sheet 2, SORT the data on total deaths from largest to smallest. 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7"/>
        </w:numPr>
        <w:spacing w:after="0" w:before="0" w:lin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bar chart of the data. 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7"/>
        </w:numPr>
        <w:spacing w:after="0" w:before="0" w:lin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scatterplot of the data.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7"/>
        </w:numPr>
        <w:spacing w:after="0" w:before="0" w:lin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interpretive statement about Heroin based on a combined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ind w:left="5760" w:hanging="28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(1) analysis of the bar chart, and (2) analysis of the scatterplot.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7"/>
        </w:numPr>
        <w:spacing w:after="0" w:before="0" w:line="24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descriptive statistics provides an interpretive statement regarding a comparison of the central tendency among the selected variables: 1) Cocaine, 2) Fentanyl and 3) Oxycodone.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a separate sheet of the Excel spreadsheet file, include a key or log for the variable names (abbreviations, terms, etc.) used for the data.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the completed excel spreadsheet assignment via CANVAS LMS by 11:59 PM Monday.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assignment must be typed and submitted electronically in MS Excel (.xls or .xlsx) format. The file must be named in the following format: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Lastname_Assignment2.xls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DO NOT submit the assignment as a .pdf or .docx file.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your completed file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listed on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Modules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pages, as a file attachment.</w:t>
      </w:r>
    </w:p>
    <w:p w:rsidR="00000000" w:rsidDel="00000000" w:rsidP="00000000" w:rsidRDefault="00000000" w:rsidRPr="00000000" w14:paraId="0000004A">
      <w:pPr>
        <w:pageBreakBefore w:val="0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05"/>
        <w:gridCol w:w="1860"/>
        <w:tblGridChange w:id="0">
          <w:tblGrid>
            <w:gridCol w:w="670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Assignment 2 - Data Presentation Grading Rubric</w:t>
            </w:r>
          </w:p>
        </w:tc>
        <w:tc>
          <w:tcPr>
            <w:shd w:fill="4f81bd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Final Grade Points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input, inspection and cleaning of data (if needed).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of descriptive statistics on four variables.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Sorted Data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 Chart (2-D)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Scatter Plot Display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Interpretive statements (analysis) of patient data on: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Sorted data.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Scatterplot of the data.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Comparison of heroin and self-selected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variable(s)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Comparison of central tendency for three variables assigned.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a61c00"/>
          <w:rtl w:val="0"/>
        </w:rPr>
        <w:t xml:space="preserve">IMPORTANT REMINDER: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University Academic Honesty Policy (see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Policies and details).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8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Centers for Medicare &amp; Medicaid Services [CMS]. (2017, Feb.). 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highlight w:val="white"/>
            <w:u w:val="single"/>
            <w:rtl w:val="0"/>
          </w:rPr>
          <w:t xml:space="preserve">Quality measures inventory user guide and data dictionary</w:t>
        </w:r>
      </w:hyperlink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[22pp.].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Sharma, B. R., Kau, D., &amp; Manju. (2013). A review on data mining: Its challenges, issues and applications.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Journal of Current Engineering and Technology,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695-700.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4.2 -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Challenges of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DQ 6.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Respond to the question(s) below for your initial post on the DQ 6 Discussion Board. Support your responses with a referenced rationale.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Outline what happens to raw patient data prior to its access for data mining.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the five (5) factors that have influenced growth of data mining and the fully developed three (3) technologies that have supported that growth.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two (2) challenges of working with qualitative data found in the electronic health record. </w:t>
      </w:r>
    </w:p>
    <w:p w:rsidR="00000000" w:rsidDel="00000000" w:rsidP="00000000" w:rsidRDefault="00000000" w:rsidRPr="00000000" w14:paraId="00000070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11:59 pm Saturday. Respond to the posts of three (3) individual peers on at least two (2) separate days before the end of each weekly discussion by 11:59 pm Monday.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Please be sure to reference the Discussion Questions guide in the Assignment Outline section of the Syllabus for further assignment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000099"/>
          <w:sz w:val="20"/>
          <w:szCs w:val="20"/>
          <w:u w:val="single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87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sz w:val="18"/>
        <w:szCs w:val="18"/>
      </w:rPr>
    </w:pPr>
    <w:hyperlink r:id="rId1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Online</w:t>
      </w:r>
    </w:hyperlink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|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Global Learning &amp; Partnerships</w:t>
      </w:r>
    </w:hyperlink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 | Weekly Overview | Version 4.1, 2015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Arial" w:cs="Arial" w:eastAsia="Arial" w:hAnsi="Arial"/>
        <w:rtl w:val="0"/>
      </w:rPr>
      <w:br w:type="textWrapping"/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771650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i w:val="0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Calibri" w:cs="Calibri" w:eastAsia="Calibri" w:hAnsi="Calibri"/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jc w:val="center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upport.office.com/en-US/Excel" TargetMode="External"/><Relationship Id="rId7" Type="http://schemas.openxmlformats.org/officeDocument/2006/relationships/hyperlink" Target="http://www.rowanonline.com" TargetMode="External"/><Relationship Id="rId8" Type="http://schemas.openxmlformats.org/officeDocument/2006/relationships/hyperlink" Target="https://www.cms.gov/Medicare/Quality-Initiatives-Patient-Assessment-Instruments/QualityMeasures/Downloads/CMS-Inventory-User-Guid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rowanonline.com" TargetMode="External"/><Relationship Id="rId2" Type="http://schemas.openxmlformats.org/officeDocument/2006/relationships/hyperlink" Target="http://rowanu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