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Weeks 11 &amp; 12 Overview</w:t>
      </w:r>
      <w:r w:rsidDel="00000000" w:rsidR="00000000" w:rsidRPr="00000000">
        <w:rPr>
          <w:color w:val="1f497d"/>
          <w:sz w:val="24"/>
          <w:szCs w:val="24"/>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rPr>
          <w:rFonts w:ascii="Calibri" w:cs="Calibri" w:eastAsia="Calibri" w:hAnsi="Calibri"/>
          <w:b w:val="1"/>
          <w:i w:val="1"/>
          <w:color w:val="1f497d"/>
          <w:sz w:val="24"/>
          <w:szCs w:val="24"/>
          <w:rtl w:val="0"/>
        </w:rPr>
        <w:t xml:space="preserve">QUICK LINKS</w:t>
      </w:r>
      <w:r w:rsidDel="00000000" w:rsidR="00000000" w:rsidRPr="00000000">
        <w:rPr>
          <w:rFonts w:ascii="Calibri" w:cs="Calibri" w:eastAsia="Calibri" w:hAnsi="Calibri"/>
          <w:b w:val="1"/>
          <w:i w:val="1"/>
          <w:rtl w:val="0"/>
        </w:rPr>
        <w:tab/>
        <w:tab/>
      </w:r>
      <w:hyperlink w:anchor="30j0zll">
        <w:r w:rsidDel="00000000" w:rsidR="00000000" w:rsidRPr="00000000">
          <w:rPr>
            <w:rFonts w:ascii="Calibri" w:cs="Calibri" w:eastAsia="Calibri" w:hAnsi="Calibri"/>
            <w:color w:val="1155cc"/>
            <w:u w:val="single"/>
            <w:rtl w:val="0"/>
          </w:rPr>
          <w:t xml:space="preserve">Study Guide</w:t>
        </w:r>
      </w:hyperlink>
      <w:r w:rsidDel="00000000" w:rsidR="00000000" w:rsidRPr="00000000">
        <w:rPr>
          <w:rFonts w:ascii="Calibri" w:cs="Calibri" w:eastAsia="Calibri" w:hAnsi="Calibri"/>
          <w:rtl w:val="0"/>
        </w:rPr>
        <w:tab/>
        <w:t xml:space="preserve"> </w:t>
        <w:tab/>
      </w:r>
      <w:hyperlink w:anchor="3dy6vkm">
        <w:r w:rsidDel="00000000" w:rsidR="00000000" w:rsidRPr="00000000">
          <w:rPr>
            <w:rFonts w:ascii="Calibri" w:cs="Calibri" w:eastAsia="Calibri" w:hAnsi="Calibri"/>
            <w:color w:val="1155cc"/>
            <w:u w:val="single"/>
            <w:rtl w:val="0"/>
          </w:rPr>
          <w:t xml:space="preserve">Objectives</w:t>
        </w:r>
      </w:hyperlink>
      <w:r w:rsidDel="00000000" w:rsidR="00000000" w:rsidRPr="00000000">
        <w:rPr>
          <w:rFonts w:ascii="Calibri" w:cs="Calibri" w:eastAsia="Calibri" w:hAnsi="Calibri"/>
          <w:rtl w:val="0"/>
        </w:rPr>
        <w:tab/>
        <w:tab/>
      </w:r>
      <w:hyperlink w:anchor="4d34og8">
        <w:r w:rsidDel="00000000" w:rsidR="00000000" w:rsidRPr="00000000">
          <w:rPr>
            <w:rFonts w:ascii="Calibri" w:cs="Calibri" w:eastAsia="Calibri" w:hAnsi="Calibri"/>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rPr/>
      </w:pPr>
      <w:bookmarkStart w:colFirst="0" w:colLast="0" w:name="_1fob9te" w:id="2"/>
      <w:bookmarkEnd w:id="2"/>
      <w:r w:rsidDel="00000000" w:rsidR="00000000" w:rsidRPr="00000000">
        <w:rPr>
          <w:rtl w:val="0"/>
        </w:rPr>
        <w:t xml:space="preserve">Study Guide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rPr>
          <w:rFonts w:ascii="Calibri" w:cs="Calibri" w:eastAsia="Calibri" w:hAnsi="Calibri"/>
          <w:color w:val="1f497d"/>
          <w:sz w:val="28"/>
          <w:szCs w:val="28"/>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575"/>
        <w:tblGridChange w:id="0">
          <w:tblGrid>
            <w:gridCol w:w="2070"/>
            <w:gridCol w:w="7575"/>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rPr/>
            </w:pPr>
            <w:bookmarkStart w:colFirst="0" w:colLast="0" w:name="_3znysh7" w:id="3"/>
            <w:bookmarkEnd w:id="3"/>
            <w:r w:rsidDel="00000000" w:rsidR="00000000" w:rsidRPr="00000000">
              <w:rPr>
                <w:rtl w:val="0"/>
              </w:rPr>
              <w:t xml:space="preserve">Message</w:t>
            </w:r>
          </w:p>
        </w:tc>
        <w:tc>
          <w:tcPr>
            <w:shd w:fill="cfe2f3" w:val="clear"/>
            <w:tcMar>
              <w:top w:w="100.0" w:type="dxa"/>
              <w:left w:w="100.0" w:type="dxa"/>
              <w:bottom w:w="100.0" w:type="dxa"/>
              <w:right w:w="100.0" w:type="dxa"/>
            </w:tcMar>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Welcome to Weeks 11 &amp; 12 of Understanding Patient Data!</w:t>
            </w:r>
          </w:p>
          <w:p w:rsidR="00000000" w:rsidDel="00000000" w:rsidP="00000000" w:rsidRDefault="00000000" w:rsidRPr="00000000" w14:paraId="00000009">
            <w:pPr>
              <w:pageBreakBefore w:val="0"/>
              <w:numPr>
                <w:ilvl w:val="0"/>
                <w:numId w:val="6"/>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Determining Quality Measures</w:t>
            </w:r>
          </w:p>
          <w:p w:rsidR="00000000" w:rsidDel="00000000" w:rsidP="00000000" w:rsidRDefault="00000000" w:rsidRPr="00000000" w14:paraId="0000000A">
            <w:pPr>
              <w:pageBreakBefore w:val="0"/>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Selecting Quality Measures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rPr/>
            </w:pPr>
            <w:bookmarkStart w:colFirst="0" w:colLast="0" w:name="_2et92p0" w:id="4"/>
            <w:bookmarkEnd w:id="4"/>
            <w:r w:rsidDel="00000000" w:rsidR="00000000" w:rsidRPr="00000000">
              <w:rPr>
                <w:rtl w:val="0"/>
              </w:rPr>
              <w:t xml:space="preserve">Reminders</w:t>
            </w:r>
          </w:p>
        </w:tc>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See discussion rubric for grading criteria. </w:t>
            </w:r>
          </w:p>
          <w:p w:rsidR="00000000" w:rsidDel="00000000" w:rsidP="00000000" w:rsidRDefault="00000000" w:rsidRPr="00000000" w14:paraId="0000000D">
            <w:pPr>
              <w:pageBreakBefore w:val="0"/>
              <w:numPr>
                <w:ilvl w:val="0"/>
                <w:numId w:val="7"/>
              </w:numPr>
              <w:ind w:left="720" w:hanging="360"/>
              <w:rPr>
                <w:rFonts w:ascii="Calibri" w:cs="Calibri" w:eastAsia="Calibri" w:hAnsi="Calibri"/>
              </w:rPr>
            </w:pPr>
            <w:r w:rsidDel="00000000" w:rsidR="00000000" w:rsidRPr="00000000">
              <w:rPr>
                <w:rFonts w:ascii="Calibri" w:cs="Calibri" w:eastAsia="Calibri" w:hAnsi="Calibri"/>
                <w:b w:val="1"/>
                <w:color w:val="a61c00"/>
                <w:rtl w:val="0"/>
              </w:rPr>
              <w:t xml:space="preserve">IMPORTANT:</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b w:val="1"/>
                <w:rtl w:val="0"/>
              </w:rPr>
              <w:t xml:space="preserve">You WILL NOT be allowed to continue to take the quiz/exam past the availability deadline.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rPr/>
            </w:pPr>
            <w:bookmarkStart w:colFirst="0" w:colLast="0" w:name="_tyjcwt" w:id="5"/>
            <w:bookmarkEnd w:id="5"/>
            <w:r w:rsidDel="00000000" w:rsidR="00000000" w:rsidRPr="00000000">
              <w:rPr>
                <w:rtl w:val="0"/>
              </w:rPr>
              <w:t xml:space="preserve">Due Dates</w:t>
            </w:r>
          </w:p>
        </w:tc>
        <w:tc>
          <w:tcPr>
            <w:shd w:fill="cfe2f3" w:val="clear"/>
            <w:tcMar>
              <w:top w:w="100.0" w:type="dxa"/>
              <w:left w:w="100.0" w:type="dxa"/>
              <w:bottom w:w="100.0" w:type="dxa"/>
              <w:right w:w="100.0" w:type="dxa"/>
            </w:tcMar>
          </w:tcPr>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DQ 8</w:t>
            </w:r>
          </w:p>
          <w:p w:rsidR="00000000" w:rsidDel="00000000" w:rsidP="00000000" w:rsidRDefault="00000000" w:rsidRPr="00000000" w14:paraId="00000010">
            <w:pPr>
              <w:pageBreakBefore w:val="0"/>
              <w:numPr>
                <w:ilvl w:val="1"/>
                <w:numId w:val="9"/>
              </w:numPr>
              <w:pBdr>
                <w:top w:space="0" w:sz="0" w:val="nil"/>
                <w:left w:space="0" w:sz="0" w:val="nil"/>
                <w:bottom w:space="0" w:sz="0" w:val="nil"/>
                <w:right w:space="0" w:sz="0" w:val="nil"/>
                <w:between w:space="0" w:sz="0" w:val="nil"/>
              </w:pBdr>
              <w:ind w:left="1440" w:hanging="360"/>
              <w:rPr>
                <w:rFonts w:ascii="Calibri" w:cs="Calibri" w:eastAsia="Calibri" w:hAnsi="Calibri"/>
              </w:rPr>
            </w:pPr>
            <w:r w:rsidDel="00000000" w:rsidR="00000000" w:rsidRPr="00000000">
              <w:rPr>
                <w:rFonts w:ascii="Calibri" w:cs="Calibri" w:eastAsia="Calibri" w:hAnsi="Calibri"/>
                <w:rtl w:val="0"/>
              </w:rPr>
              <w:t xml:space="preserve">Your initial post is due by 11:59 PM ET on Saturday of Week 11.</w:t>
            </w:r>
          </w:p>
          <w:p w:rsidR="00000000" w:rsidDel="00000000" w:rsidP="00000000" w:rsidRDefault="00000000" w:rsidRPr="00000000" w14:paraId="00000011">
            <w:pPr>
              <w:pageBreakBefore w:val="0"/>
              <w:numPr>
                <w:ilvl w:val="1"/>
                <w:numId w:val="9"/>
              </w:numPr>
              <w:pBdr>
                <w:top w:space="0" w:sz="0" w:val="nil"/>
                <w:left w:space="0" w:sz="0" w:val="nil"/>
                <w:bottom w:space="0" w:sz="0" w:val="nil"/>
                <w:right w:space="0" w:sz="0" w:val="nil"/>
                <w:between w:space="0" w:sz="0" w:val="nil"/>
              </w:pBdr>
              <w:ind w:left="1440" w:hanging="360"/>
              <w:rPr>
                <w:rFonts w:ascii="Calibri" w:cs="Calibri" w:eastAsia="Calibri" w:hAnsi="Calibri"/>
              </w:rPr>
            </w:pPr>
            <w:r w:rsidDel="00000000" w:rsidR="00000000" w:rsidRPr="00000000">
              <w:rPr>
                <w:rFonts w:ascii="Calibri" w:cs="Calibri" w:eastAsia="Calibri" w:hAnsi="Calibri"/>
                <w:rtl w:val="0"/>
              </w:rPr>
              <w:t xml:space="preserve">Your replies are due by 11:59 PM ET on Monday of Week 11.</w:t>
            </w:r>
          </w:p>
          <w:p w:rsidR="00000000" w:rsidDel="00000000" w:rsidP="00000000" w:rsidRDefault="00000000" w:rsidRPr="00000000" w14:paraId="00000012">
            <w:pPr>
              <w:pageBreakBefore w:val="0"/>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DQ 9</w:t>
            </w:r>
          </w:p>
          <w:p w:rsidR="00000000" w:rsidDel="00000000" w:rsidP="00000000" w:rsidRDefault="00000000" w:rsidRPr="00000000" w14:paraId="00000013">
            <w:pPr>
              <w:pageBreakBefore w:val="0"/>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Your initial post is due by 11:59 PM ET on Saturday of Week 12.</w:t>
            </w:r>
          </w:p>
          <w:p w:rsidR="00000000" w:rsidDel="00000000" w:rsidP="00000000" w:rsidRDefault="00000000" w:rsidRPr="00000000" w14:paraId="00000014">
            <w:pPr>
              <w:pageBreakBefore w:val="0"/>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Your replies are due by 11:59 PM ET on Monday of Week 12.</w:t>
            </w:r>
          </w:p>
          <w:p w:rsidR="00000000" w:rsidDel="00000000" w:rsidP="00000000" w:rsidRDefault="00000000" w:rsidRPr="00000000" w14:paraId="00000015">
            <w:pPr>
              <w:pageBreakBefore w:val="0"/>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Quiz 3</w:t>
            </w:r>
          </w:p>
          <w:p w:rsidR="00000000" w:rsidDel="00000000" w:rsidP="00000000" w:rsidRDefault="00000000" w:rsidRPr="00000000" w14:paraId="00000016">
            <w:pPr>
              <w:pageBreakBefore w:val="0"/>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Quizzes will be made available during week 12 for a set time frame 12:00 AM Friday through 11:59 PM Sunday.</w:t>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pacing w:before="200" w:lineRule="auto"/>
        <w:jc w:val="right"/>
        <w:rPr>
          <w:rFonts w:ascii="Calibri" w:cs="Calibri" w:eastAsia="Calibri" w:hAnsi="Calibri"/>
        </w:rPr>
      </w:pPr>
      <w:hyperlink w:anchor="3rdcrjn">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rPr/>
      </w:pPr>
      <w:bookmarkStart w:colFirst="0" w:colLast="0" w:name="_1t3h5sf" w:id="7"/>
      <w:bookmarkEnd w:id="7"/>
      <w:r w:rsidDel="00000000" w:rsidR="00000000" w:rsidRPr="00000000">
        <w:rPr>
          <w:rtl w:val="0"/>
        </w:rPr>
        <w:t xml:space="preserve">Objectives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numPr>
          <w:ilvl w:val="0"/>
          <w:numId w:val="13"/>
        </w:numPr>
        <w:tabs>
          <w:tab w:val="left" w:leader="none" w:pos="720"/>
        </w:tabs>
        <w:ind w:left="720" w:hanging="360"/>
        <w:rPr>
          <w:rFonts w:ascii="Calibri" w:cs="Calibri" w:eastAsia="Calibri" w:hAnsi="Calibri"/>
        </w:rPr>
      </w:pPr>
      <w:r w:rsidDel="00000000" w:rsidR="00000000" w:rsidRPr="00000000">
        <w:rPr>
          <w:rFonts w:ascii="Calibri" w:cs="Calibri" w:eastAsia="Calibri" w:hAnsi="Calibri"/>
          <w:rtl w:val="0"/>
        </w:rPr>
        <w:t xml:space="preserve">The student will be able to identify the process for determining quality indicators.</w:t>
      </w:r>
    </w:p>
    <w:p w:rsidR="00000000" w:rsidDel="00000000" w:rsidP="00000000" w:rsidRDefault="00000000" w:rsidRPr="00000000" w14:paraId="0000001D">
      <w:pPr>
        <w:pageBreakBefore w:val="0"/>
        <w:numPr>
          <w:ilvl w:val="0"/>
          <w:numId w:val="13"/>
        </w:numPr>
        <w:tabs>
          <w:tab w:val="left" w:leader="none" w:pos="720"/>
        </w:tabs>
        <w:ind w:left="720" w:hanging="360"/>
        <w:rPr>
          <w:rFonts w:ascii="Calibri" w:cs="Calibri" w:eastAsia="Calibri" w:hAnsi="Calibri"/>
        </w:rPr>
      </w:pPr>
      <w:r w:rsidDel="00000000" w:rsidR="00000000" w:rsidRPr="00000000">
        <w:rPr>
          <w:rFonts w:ascii="Calibri" w:cs="Calibri" w:eastAsia="Calibri" w:hAnsi="Calibri"/>
          <w:rtl w:val="0"/>
        </w:rPr>
        <w:t xml:space="preserve">The student will be able to determine quality indicators used to develop quality measures and value measures.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jc w:val="right"/>
        <w:rPr>
          <w:rFonts w:ascii="Calibri" w:cs="Calibri" w:eastAsia="Calibri" w:hAnsi="Calibri"/>
          <w:sz w:val="20"/>
          <w:szCs w:val="20"/>
        </w:rPr>
      </w:pPr>
      <w:hyperlink w:anchor="3rdcrjn">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jc w:val="cente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8"/>
    <w:bookmarkEnd w:id="8"/>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rPr/>
      </w:pPr>
      <w:bookmarkStart w:colFirst="0" w:colLast="0" w:name="_2s8eyo1" w:id="9"/>
      <w:bookmarkEnd w:id="9"/>
      <w:r w:rsidDel="00000000" w:rsidR="00000000" w:rsidRPr="00000000">
        <w:rPr>
          <w:rtl w:val="0"/>
        </w:rPr>
        <w:t xml:space="preserve">Instructions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Lesson 11</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pageBreakBefore w:val="0"/>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text(s):</w:t>
      </w:r>
    </w:p>
    <w:p w:rsidR="00000000" w:rsidDel="00000000" w:rsidP="00000000" w:rsidRDefault="00000000" w:rsidRPr="00000000" w14:paraId="00000026">
      <w:pPr>
        <w:pageBreakBefore w:val="0"/>
        <w:numPr>
          <w:ilvl w:val="0"/>
          <w:numId w:val="5"/>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Strome, T. (2013). Chapter 8 – Leveraging analytics in quality improvement activities (pp. 129-144). In T. L. Strome, </w:t>
      </w:r>
      <w:r w:rsidDel="00000000" w:rsidR="00000000" w:rsidRPr="00000000">
        <w:rPr>
          <w:rFonts w:ascii="Calibri" w:cs="Calibri" w:eastAsia="Calibri" w:hAnsi="Calibri"/>
          <w:i w:val="1"/>
          <w:rtl w:val="0"/>
        </w:rPr>
        <w:t xml:space="preserve">Healthcare analytics for quality and performance improvement</w:t>
      </w:r>
      <w:r w:rsidDel="00000000" w:rsidR="00000000" w:rsidRPr="00000000">
        <w:rPr>
          <w:rFonts w:ascii="Calibri" w:cs="Calibri" w:eastAsia="Calibri" w:hAnsi="Calibri"/>
          <w:rtl w:val="0"/>
        </w:rPr>
        <w:t xml:space="preserve">. Hoboken, NJ: Wiley Publishers.</w:t>
      </w:r>
    </w:p>
    <w:p w:rsidR="00000000" w:rsidDel="00000000" w:rsidP="00000000" w:rsidRDefault="00000000" w:rsidRPr="00000000" w14:paraId="00000027">
      <w:pPr>
        <w:pageBreakBefore w:val="0"/>
        <w:spacing w:after="0" w:before="0"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articles: </w:t>
      </w:r>
    </w:p>
    <w:p w:rsidR="00000000" w:rsidDel="00000000" w:rsidP="00000000" w:rsidRDefault="00000000" w:rsidRPr="00000000" w14:paraId="00000029">
      <w:pPr>
        <w:pageBreakBefore w:val="0"/>
        <w:numPr>
          <w:ilvl w:val="0"/>
          <w:numId w:val="12"/>
        </w:numPr>
        <w:tabs>
          <w:tab w:val="left" w:leader="none" w:pos="1440"/>
        </w:tabs>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Agency for Healthcare Quality Research [AHQR]. (2015). </w:t>
      </w:r>
      <w:hyperlink r:id="rId6">
        <w:r w:rsidDel="00000000" w:rsidR="00000000" w:rsidRPr="00000000">
          <w:rPr>
            <w:rFonts w:ascii="Calibri" w:cs="Calibri" w:eastAsia="Calibri" w:hAnsi="Calibri"/>
            <w:i w:val="1"/>
            <w:color w:val="1155cc"/>
            <w:u w:val="single"/>
            <w:rtl w:val="0"/>
          </w:rPr>
          <w:t xml:space="preserve">Common core set: Gastrointestinal indicators</w:t>
        </w:r>
      </w:hyperlink>
      <w:r w:rsidDel="00000000" w:rsidR="00000000" w:rsidRPr="00000000">
        <w:rPr>
          <w:rFonts w:ascii="Calibri" w:cs="Calibri" w:eastAsia="Calibri" w:hAnsi="Calibri"/>
          <w:i w:val="1"/>
          <w:rtl w:val="0"/>
        </w:rPr>
        <w:t xml:space="preserve">. </w:t>
      </w:r>
      <w:r w:rsidDel="00000000" w:rsidR="00000000" w:rsidRPr="00000000">
        <w:rPr>
          <w:rtl w:val="0"/>
        </w:rPr>
      </w:r>
    </w:p>
    <w:p w:rsidR="00000000" w:rsidDel="00000000" w:rsidP="00000000" w:rsidRDefault="00000000" w:rsidRPr="00000000" w14:paraId="0000002A">
      <w:pPr>
        <w:pageBreakBefore w:val="0"/>
        <w:numPr>
          <w:ilvl w:val="0"/>
          <w:numId w:val="12"/>
        </w:numPr>
        <w:tabs>
          <w:tab w:val="left" w:leader="none" w:pos="1440"/>
        </w:tabs>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Austin, J. M., Black, B., &amp; Pronovost, P. J. (2018). A standard-setting body for US health care quality measurement. </w:t>
      </w:r>
      <w:r w:rsidDel="00000000" w:rsidR="00000000" w:rsidRPr="00000000">
        <w:rPr>
          <w:rFonts w:ascii="Calibri" w:cs="Calibri" w:eastAsia="Calibri" w:hAnsi="Calibri"/>
          <w:i w:val="1"/>
          <w:rtl w:val="0"/>
        </w:rPr>
        <w:t xml:space="preserve">American Journal of Medical Quality, 33</w:t>
      </w:r>
      <w:r w:rsidDel="00000000" w:rsidR="00000000" w:rsidRPr="00000000">
        <w:rPr>
          <w:rFonts w:ascii="Calibri" w:cs="Calibri" w:eastAsia="Calibri" w:hAnsi="Calibri"/>
          <w:rtl w:val="0"/>
        </w:rPr>
        <w:t xml:space="preserve">(4), 434-439. doi:10.1177/1062860617741977</w:t>
      </w:r>
    </w:p>
    <w:p w:rsidR="00000000" w:rsidDel="00000000" w:rsidP="00000000" w:rsidRDefault="00000000" w:rsidRPr="00000000" w14:paraId="0000002B">
      <w:pPr>
        <w:pageBreakBefore w:val="0"/>
        <w:numPr>
          <w:ilvl w:val="0"/>
          <w:numId w:val="12"/>
        </w:numPr>
        <w:tabs>
          <w:tab w:val="left" w:leader="none" w:pos="1440"/>
        </w:tabs>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Burstin, H., Leatherman, S., &amp; Goldman, D. (2016). The evolution of healthcare quality measurement in the United States. </w:t>
      </w:r>
      <w:r w:rsidDel="00000000" w:rsidR="00000000" w:rsidRPr="00000000">
        <w:rPr>
          <w:rFonts w:ascii="Calibri" w:cs="Calibri" w:eastAsia="Calibri" w:hAnsi="Calibri"/>
          <w:i w:val="1"/>
          <w:rtl w:val="0"/>
        </w:rPr>
        <w:t xml:space="preserve">Journal of Internal Medicine, 279,</w:t>
      </w:r>
      <w:r w:rsidDel="00000000" w:rsidR="00000000" w:rsidRPr="00000000">
        <w:rPr>
          <w:rFonts w:ascii="Calibri" w:cs="Calibri" w:eastAsia="Calibri" w:hAnsi="Calibri"/>
          <w:rtl w:val="0"/>
        </w:rPr>
        <w:t xml:space="preserve"> 154-159. doi: 10.1111/joim.12471</w:t>
      </w:r>
    </w:p>
    <w:p w:rsidR="00000000" w:rsidDel="00000000" w:rsidP="00000000" w:rsidRDefault="00000000" w:rsidRPr="00000000" w14:paraId="0000002C">
      <w:pPr>
        <w:pageBreakBefore w:val="0"/>
        <w:widowControl w:val="1"/>
        <w:numPr>
          <w:ilvl w:val="0"/>
          <w:numId w:val="12"/>
        </w:numPr>
        <w:tabs>
          <w:tab w:val="left" w:leader="none" w:pos="1440"/>
        </w:tabs>
        <w:spacing w:after="0" w:before="0" w:line="240" w:lineRule="auto"/>
        <w:ind w:left="1440" w:hanging="360"/>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Park, W. G., Shaheen, N. J., Cohen, J., Pike, I. M., &amp; Adler, D. G. (2015). Quality indicators for EGD. </w:t>
      </w:r>
      <w:r w:rsidDel="00000000" w:rsidR="00000000" w:rsidRPr="00000000">
        <w:rPr>
          <w:rFonts w:ascii="Calibri" w:cs="Calibri" w:eastAsia="Calibri" w:hAnsi="Calibri"/>
          <w:i w:val="1"/>
          <w:rtl w:val="0"/>
        </w:rPr>
        <w:t xml:space="preserve">Gastrointestinal Endoscopy, 81</w:t>
      </w:r>
      <w:r w:rsidDel="00000000" w:rsidR="00000000" w:rsidRPr="00000000">
        <w:rPr>
          <w:rFonts w:ascii="Calibri" w:cs="Calibri" w:eastAsia="Calibri" w:hAnsi="Calibri"/>
          <w:rtl w:val="0"/>
        </w:rPr>
        <w:t xml:space="preserve">(1), 54-66. doi: 10.1016/j.gie.2014.07.057 </w:t>
      </w:r>
    </w:p>
    <w:p w:rsidR="00000000" w:rsidDel="00000000" w:rsidP="00000000" w:rsidRDefault="00000000" w:rsidRPr="00000000" w14:paraId="0000002D">
      <w:pPr>
        <w:pageBreakBefore w:val="0"/>
        <w:numPr>
          <w:ilvl w:val="0"/>
          <w:numId w:val="12"/>
        </w:numPr>
        <w:tabs>
          <w:tab w:val="left" w:leader="none" w:pos="1440"/>
        </w:tabs>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Saver, B. G., Martin, S. A., Adler, R. N., Candib, L. M., Deligiannidis, K. E., Golding, J., … Topolski, S. (2015). Care that matters: Quality measurement and health care. </w:t>
      </w:r>
      <w:r w:rsidDel="00000000" w:rsidR="00000000" w:rsidRPr="00000000">
        <w:rPr>
          <w:rFonts w:ascii="Calibri" w:cs="Calibri" w:eastAsia="Calibri" w:hAnsi="Calibri"/>
          <w:i w:val="1"/>
          <w:rtl w:val="0"/>
        </w:rPr>
        <w:t xml:space="preserve">PLoS Medicine</w:t>
      </w:r>
      <w:r w:rsidDel="00000000" w:rsidR="00000000" w:rsidRPr="00000000">
        <w:rPr>
          <w:rFonts w:ascii="Calibri" w:cs="Calibri" w:eastAsia="Calibri" w:hAnsi="Calibri"/>
          <w:rtl w:val="0"/>
        </w:rPr>
        <w:t xml:space="preserve">, 12(11), e1001902. doi:10.1371/journal.pmed.1001902.t002</w:t>
      </w:r>
    </w:p>
    <w:p w:rsidR="00000000" w:rsidDel="00000000" w:rsidP="00000000" w:rsidRDefault="00000000" w:rsidRPr="00000000" w14:paraId="0000002E">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View the following </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Lecture/Voice over PowerPoint:</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i w:val="1"/>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Lecture 6 - </w:t>
      </w:r>
      <w:r w:rsidDel="00000000" w:rsidR="00000000" w:rsidRPr="00000000">
        <w:rPr>
          <w:rFonts w:ascii="Calibri" w:cs="Calibri" w:eastAsia="Calibri" w:hAnsi="Calibri"/>
          <w:i w:val="1"/>
          <w:smallCaps w:val="0"/>
          <w:strike w:val="0"/>
          <w:color w:val="000000"/>
          <w:u w:val="none"/>
          <w:shd w:fill="auto" w:val="clear"/>
          <w:vertAlign w:val="baseline"/>
          <w:rtl w:val="0"/>
        </w:rPr>
        <w:t xml:space="preserve">Determining and selecting quality indicators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DQ 8.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Respond to the question(s) below for your initial post on the DQ 8 Discussion Board. Support your responses with a referenced rationale.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Identify the core principles of health care quality measures. </w:t>
      </w:r>
    </w:p>
    <w:p w:rsidR="00000000" w:rsidDel="00000000" w:rsidP="00000000" w:rsidRDefault="00000000" w:rsidRPr="00000000" w14:paraId="0000003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Define and explain the purpose of a quality indicator.</w:t>
      </w:r>
    </w:p>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Describe the structure and processes used by the National Quality Forum (NQF). </w:t>
      </w:r>
    </w:p>
    <w:p w:rsidR="00000000" w:rsidDel="00000000" w:rsidP="00000000" w:rsidRDefault="00000000" w:rsidRPr="00000000" w14:paraId="00000037">
      <w:pPr>
        <w:pageBreakBefore w:val="0"/>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Post your initial response by 11:59 pm Saturday. Respond to the posts of 3 individual peers on at least two separate days before the end of each weekly discussion by 11:59 pm Monday.</w:t>
      </w:r>
    </w:p>
    <w:p w:rsidR="00000000" w:rsidDel="00000000" w:rsidP="00000000" w:rsidRDefault="00000000" w:rsidRPr="00000000" w14:paraId="00000039">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Please be sure to reference the Discussion Questions guide in the Assignment Outline section of the Syllabus for further assignment details.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color w:val="a61c00"/>
          <w:rtl w:val="0"/>
        </w:rPr>
        <w:t xml:space="preserve">IMPORTANT REMINDER:</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Each student is expected to work on this </w:t>
      </w:r>
      <w:r w:rsidDel="00000000" w:rsidR="00000000" w:rsidRPr="00000000">
        <w:rPr>
          <w:rFonts w:ascii="Calibri" w:cs="Calibri" w:eastAsia="Calibri" w:hAnsi="Calibri"/>
          <w:b w:val="1"/>
          <w:u w:val="single"/>
          <w:rtl w:val="0"/>
        </w:rPr>
        <w:t xml:space="preserve">individually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within the confines of the University Academic Honesty Policy (see </w:t>
      </w:r>
      <w:hyperlink r:id="rId7">
        <w:r w:rsidDel="00000000" w:rsidR="00000000" w:rsidRPr="00000000">
          <w:rPr>
            <w:rFonts w:ascii="Calibri" w:cs="Calibri" w:eastAsia="Calibri" w:hAnsi="Calibri"/>
            <w:color w:val="1155cc"/>
            <w:u w:val="single"/>
            <w:rtl w:val="0"/>
          </w:rPr>
          <w:t xml:space="preserve">http://www.rowanonline.com</w:t>
        </w:r>
      </w:hyperlink>
      <w:r w:rsidDel="00000000" w:rsidR="00000000" w:rsidRPr="00000000">
        <w:rPr>
          <w:rFonts w:ascii="Calibri" w:cs="Calibri" w:eastAsia="Calibri" w:hAnsi="Calibri"/>
          <w:rtl w:val="0"/>
        </w:rPr>
        <w:t xml:space="preserve"> for University Policies and details). </w:t>
      </w:r>
    </w:p>
    <w:p w:rsidR="00000000" w:rsidDel="00000000" w:rsidP="00000000" w:rsidRDefault="00000000" w:rsidRPr="00000000" w14:paraId="0000003C">
      <w:pPr>
        <w:pageBreakBefore w:val="0"/>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pageBreakBefore w:val="0"/>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Lesson 12</w:t>
      </w:r>
    </w:p>
    <w:p w:rsidR="00000000" w:rsidDel="00000000" w:rsidP="00000000" w:rsidRDefault="00000000" w:rsidRPr="00000000" w14:paraId="0000003E">
      <w:pPr>
        <w:pageBreakBefore w:val="0"/>
        <w:spacing w:after="0" w:before="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ageBreakBefore w:val="0"/>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text(s):</w:t>
      </w:r>
    </w:p>
    <w:p w:rsidR="00000000" w:rsidDel="00000000" w:rsidP="00000000" w:rsidRDefault="00000000" w:rsidRPr="00000000" w14:paraId="00000040">
      <w:pPr>
        <w:pageBreakBefore w:val="0"/>
        <w:numPr>
          <w:ilvl w:val="0"/>
          <w:numId w:val="4"/>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Strome, T. (2013). Chapter 9 – Basic statistical methods and control chart principles (pp. 145-164). In T. L. Strome, </w:t>
      </w:r>
      <w:r w:rsidDel="00000000" w:rsidR="00000000" w:rsidRPr="00000000">
        <w:rPr>
          <w:rFonts w:ascii="Calibri" w:cs="Calibri" w:eastAsia="Calibri" w:hAnsi="Calibri"/>
          <w:i w:val="1"/>
          <w:rtl w:val="0"/>
        </w:rPr>
        <w:t xml:space="preserve">Healthcare analytics for quality and performance improvement</w:t>
      </w:r>
      <w:r w:rsidDel="00000000" w:rsidR="00000000" w:rsidRPr="00000000">
        <w:rPr>
          <w:rFonts w:ascii="Calibri" w:cs="Calibri" w:eastAsia="Calibri" w:hAnsi="Calibri"/>
          <w:rtl w:val="0"/>
        </w:rPr>
        <w:t xml:space="preserve">. Hoboken, NJ: Wiley Publishers.</w:t>
      </w:r>
    </w:p>
    <w:p w:rsidR="00000000" w:rsidDel="00000000" w:rsidP="00000000" w:rsidRDefault="00000000" w:rsidRPr="00000000" w14:paraId="00000041">
      <w:pPr>
        <w:pageBreakBefore w:val="0"/>
        <w:spacing w:after="0" w:before="0"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2">
      <w:pPr>
        <w:pageBreakBefore w:val="0"/>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Required reading, articles: </w:t>
      </w:r>
    </w:p>
    <w:p w:rsidR="00000000" w:rsidDel="00000000" w:rsidP="00000000" w:rsidRDefault="00000000" w:rsidRPr="00000000" w14:paraId="00000043">
      <w:pPr>
        <w:pageBreakBefore w:val="0"/>
        <w:numPr>
          <w:ilvl w:val="0"/>
          <w:numId w:val="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Damberg , C. L. &amp; Baker, D. W. (2016). Improving the quality of quality measurement. </w:t>
      </w:r>
      <w:r w:rsidDel="00000000" w:rsidR="00000000" w:rsidRPr="00000000">
        <w:rPr>
          <w:rFonts w:ascii="Calibri" w:cs="Calibri" w:eastAsia="Calibri" w:hAnsi="Calibri"/>
          <w:i w:val="1"/>
          <w:rtl w:val="0"/>
        </w:rPr>
        <w:t xml:space="preserve">Journal of Internal Medicine, 31</w:t>
      </w:r>
      <w:r w:rsidDel="00000000" w:rsidR="00000000" w:rsidRPr="00000000">
        <w:rPr>
          <w:rFonts w:ascii="Calibri" w:cs="Calibri" w:eastAsia="Calibri" w:hAnsi="Calibri"/>
          <w:rtl w:val="0"/>
        </w:rPr>
        <w:t xml:space="preserve">(Suppl 1), S8-S9. doi:10.1007/s11606-015-3577-y</w:t>
      </w:r>
      <w:r w:rsidDel="00000000" w:rsidR="00000000" w:rsidRPr="00000000">
        <w:rPr>
          <w:rtl w:val="0"/>
        </w:rPr>
      </w:r>
    </w:p>
    <w:p w:rsidR="00000000" w:rsidDel="00000000" w:rsidP="00000000" w:rsidRDefault="00000000" w:rsidRPr="00000000" w14:paraId="00000044">
      <w:pPr>
        <w:pageBreakBefore w:val="0"/>
        <w:numPr>
          <w:ilvl w:val="0"/>
          <w:numId w:val="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Panzer, R. J., Gitomer, R. S., Greene, W. H., Webster, P. R., Landry, K. R., &amp; Riccobone, C. A. (2013). Increasing demands for quality measurement. </w:t>
      </w:r>
      <w:r w:rsidDel="00000000" w:rsidR="00000000" w:rsidRPr="00000000">
        <w:rPr>
          <w:rFonts w:ascii="Calibri" w:cs="Calibri" w:eastAsia="Calibri" w:hAnsi="Calibri"/>
          <w:i w:val="1"/>
          <w:rtl w:val="0"/>
        </w:rPr>
        <w:t xml:space="preserve">JAMA: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Journal of the American Medical Association, 310</w:t>
      </w:r>
      <w:r w:rsidDel="00000000" w:rsidR="00000000" w:rsidRPr="00000000">
        <w:rPr>
          <w:rFonts w:ascii="Calibri" w:cs="Calibri" w:eastAsia="Calibri" w:hAnsi="Calibri"/>
          <w:rtl w:val="0"/>
        </w:rPr>
        <w:t xml:space="preserve">(18), 1971-1980. doi:10.1001/jama.2013.282047</w:t>
      </w:r>
    </w:p>
    <w:p w:rsidR="00000000" w:rsidDel="00000000" w:rsidP="00000000" w:rsidRDefault="00000000" w:rsidRPr="00000000" w14:paraId="00000045">
      <w:pPr>
        <w:pageBreakBefore w:val="0"/>
        <w:numPr>
          <w:ilvl w:val="0"/>
          <w:numId w:val="3"/>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Tonner, C., Schmajuk, G., &amp; Yazdany, J. (2017). A new era of quality measurement in rheumatology: Electronic clinical quality measures and national registries. </w:t>
      </w:r>
      <w:r w:rsidDel="00000000" w:rsidR="00000000" w:rsidRPr="00000000">
        <w:rPr>
          <w:rFonts w:ascii="Calibri" w:cs="Calibri" w:eastAsia="Calibri" w:hAnsi="Calibri"/>
          <w:i w:val="1"/>
          <w:rtl w:val="0"/>
        </w:rPr>
        <w:t xml:space="preserve">Current Opinions in Rheumatology, 29(2),</w:t>
      </w:r>
      <w:r w:rsidDel="00000000" w:rsidR="00000000" w:rsidRPr="00000000">
        <w:rPr>
          <w:rFonts w:ascii="Calibri" w:cs="Calibri" w:eastAsia="Calibri" w:hAnsi="Calibri"/>
          <w:rtl w:val="0"/>
        </w:rPr>
        <w:t xml:space="preserve"> 131-137. doi:10.1097/BOR.0000000000000364</w:t>
      </w:r>
    </w:p>
    <w:p w:rsidR="00000000" w:rsidDel="00000000" w:rsidP="00000000" w:rsidRDefault="00000000" w:rsidRPr="00000000" w14:paraId="00000046">
      <w:pPr>
        <w:pageBreakBefore w:val="0"/>
        <w:spacing w:after="0" w:before="0" w:line="240"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47">
      <w:pPr>
        <w:pageBreakBefore w:val="0"/>
        <w:numPr>
          <w:ilvl w:val="0"/>
          <w:numId w:val="1"/>
        </w:numPr>
        <w:spacing w:after="0" w:before="0" w:line="240" w:lineRule="auto"/>
        <w:ind w:left="720" w:hanging="360"/>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View the following </w:t>
      </w:r>
      <w:r w:rsidDel="00000000" w:rsidR="00000000" w:rsidRPr="00000000">
        <w:rPr>
          <w:rFonts w:ascii="Calibri" w:cs="Calibri" w:eastAsia="Calibri" w:hAnsi="Calibri"/>
          <w:b w:val="1"/>
          <w:rtl w:val="0"/>
        </w:rPr>
        <w:t xml:space="preserve">Lecture/Voice over PowerPoint:</w:t>
      </w:r>
      <w:r w:rsidDel="00000000" w:rsidR="00000000" w:rsidRPr="00000000">
        <w:rPr>
          <w:rtl w:val="0"/>
        </w:rPr>
      </w:r>
    </w:p>
    <w:p w:rsidR="00000000" w:rsidDel="00000000" w:rsidP="00000000" w:rsidRDefault="00000000" w:rsidRPr="00000000" w14:paraId="00000048">
      <w:pPr>
        <w:pageBreakBefore w:val="0"/>
        <w:numPr>
          <w:ilvl w:val="1"/>
          <w:numId w:val="1"/>
        </w:numPr>
        <w:spacing w:after="0" w:before="0" w:line="240" w:lineRule="auto"/>
        <w:ind w:left="1440" w:hanging="360"/>
        <w:rPr>
          <w:rFonts w:ascii="Calibri" w:cs="Calibri" w:eastAsia="Calibri" w:hAnsi="Calibri"/>
          <w:i w:val="1"/>
        </w:rPr>
      </w:pPr>
      <w:r w:rsidDel="00000000" w:rsidR="00000000" w:rsidRPr="00000000">
        <w:rPr>
          <w:rFonts w:ascii="Calibri" w:cs="Calibri" w:eastAsia="Calibri" w:hAnsi="Calibri"/>
          <w:rtl w:val="0"/>
        </w:rPr>
        <w:t xml:space="preserve">Lecture 6 - </w:t>
      </w:r>
      <w:r w:rsidDel="00000000" w:rsidR="00000000" w:rsidRPr="00000000">
        <w:rPr>
          <w:rFonts w:ascii="Calibri" w:cs="Calibri" w:eastAsia="Calibri" w:hAnsi="Calibri"/>
          <w:i w:val="1"/>
          <w:rtl w:val="0"/>
        </w:rPr>
        <w:t xml:space="preserve">Determining and selecting quality indicators (review)</w:t>
      </w:r>
    </w:p>
    <w:p w:rsidR="00000000" w:rsidDel="00000000" w:rsidP="00000000" w:rsidRDefault="00000000" w:rsidRPr="00000000" w14:paraId="00000049">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ageBreakBefore w:val="0"/>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DQ 9. </w:t>
      </w:r>
      <w:r w:rsidDel="00000000" w:rsidR="00000000" w:rsidRPr="00000000">
        <w:rPr>
          <w:rFonts w:ascii="Calibri" w:cs="Calibri" w:eastAsia="Calibri" w:hAnsi="Calibri"/>
          <w:rtl w:val="0"/>
        </w:rPr>
        <w:t xml:space="preserve">Respond to the question(s) below for your initial post on the DQ 9 Discussion Board. Support your responses with a referenced rationale.</w:t>
      </w:r>
    </w:p>
    <w:p w:rsidR="00000000" w:rsidDel="00000000" w:rsidP="00000000" w:rsidRDefault="00000000" w:rsidRPr="00000000" w14:paraId="0000004B">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ageBreakBefore w:val="0"/>
        <w:numPr>
          <w:ilvl w:val="0"/>
          <w:numId w:val="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Describe the benefits and risks of patient shared-decision-making as it relates to quality measures. </w:t>
      </w:r>
    </w:p>
    <w:p w:rsidR="00000000" w:rsidDel="00000000" w:rsidP="00000000" w:rsidRDefault="00000000" w:rsidRPr="00000000" w14:paraId="0000004D">
      <w:pPr>
        <w:pageBreakBefore w:val="0"/>
        <w:numPr>
          <w:ilvl w:val="0"/>
          <w:numId w:val="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Compare and contrast cost-based quality measurement based on cost versus value-based quality measurement. </w:t>
      </w:r>
    </w:p>
    <w:p w:rsidR="00000000" w:rsidDel="00000000" w:rsidP="00000000" w:rsidRDefault="00000000" w:rsidRPr="00000000" w14:paraId="0000004E">
      <w:pPr>
        <w:pageBreakBefore w:val="0"/>
        <w:numPr>
          <w:ilvl w:val="0"/>
          <w:numId w:val="2"/>
        </w:numPr>
        <w:spacing w:after="0" w:before="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 is this comparison influenced by the electronic health record?</w:t>
      </w:r>
    </w:p>
    <w:p w:rsidR="00000000" w:rsidDel="00000000" w:rsidP="00000000" w:rsidRDefault="00000000" w:rsidRPr="00000000" w14:paraId="0000004F">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Post your initial response by 11:59 pm Saturday. Respond to the posts of 3 individual peers on at least two separate days before the end of each weekly discussion at 11:59 pm Monday.</w:t>
      </w:r>
    </w:p>
    <w:p w:rsidR="00000000" w:rsidDel="00000000" w:rsidP="00000000" w:rsidRDefault="00000000" w:rsidRPr="00000000" w14:paraId="00000050">
      <w:pPr>
        <w:pageBreakBefore w:val="0"/>
        <w:spacing w:after="0" w:before="0" w:line="240"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Please be sure to reference the Discussion Questions guide in the Assignment Outline section of the Syllabus for further assignment details.</w:t>
      </w:r>
    </w:p>
    <w:p w:rsidR="00000000" w:rsidDel="00000000" w:rsidP="00000000" w:rsidRDefault="00000000" w:rsidRPr="00000000" w14:paraId="00000052">
      <w:pPr>
        <w:pageBreakBefore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ageBreakBefore w:val="0"/>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Quiz 3. </w:t>
      </w:r>
      <w:r w:rsidDel="00000000" w:rsidR="00000000" w:rsidRPr="00000000">
        <w:rPr>
          <w:rFonts w:ascii="Calibri" w:cs="Calibri" w:eastAsia="Calibri" w:hAnsi="Calibri"/>
          <w:rtl w:val="0"/>
        </w:rPr>
        <w:t xml:space="preserve">This exam is fully online and consists of 20 multiple-choice items. The quiz will include all required readings, lectures and materials covered in Weeks 5 &amp; 6. The exam is worth up to 2.5 points towards your final grade. </w:t>
      </w:r>
      <w:r w:rsidDel="00000000" w:rsidR="00000000" w:rsidRPr="00000000">
        <w:rPr>
          <w:rFonts w:ascii="Calibri" w:cs="Calibri" w:eastAsia="Calibri" w:hAnsi="Calibri"/>
          <w:b w:val="1"/>
          <w:i w:val="1"/>
          <w:rtl w:val="0"/>
        </w:rPr>
        <w:t xml:space="preserve">You may take the exam up to three times without penalty for doing so. ONLY the last attempt will be the score that counts towards your final grade. (NOTE: This may not be your highest quiz grade).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a61c00"/>
          <w:rtl w:val="0"/>
        </w:rPr>
        <w:t xml:space="preserve">You will have 60 minutes to complete each exam from the time you start. </w:t>
      </w:r>
      <w:r w:rsidDel="00000000" w:rsidR="00000000" w:rsidRPr="00000000">
        <w:rPr>
          <w:rFonts w:ascii="Calibri" w:cs="Calibri" w:eastAsia="Calibri" w:hAnsi="Calibri"/>
          <w:rtl w:val="0"/>
        </w:rPr>
        <w:t xml:space="preserve">If you have any questions, contact the instructor. </w:t>
      </w:r>
      <w:r w:rsidDel="00000000" w:rsidR="00000000" w:rsidRPr="00000000">
        <w:rPr>
          <w:rFonts w:ascii="Calibri" w:cs="Calibri" w:eastAsia="Calibri" w:hAnsi="Calibri"/>
          <w:b w:val="1"/>
          <w:color w:val="a61c00"/>
          <w:rtl w:val="0"/>
        </w:rPr>
        <w:t xml:space="preserve">IMPORTANT:</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You will not be allowed to continue to take the exam past the availability deadline (date and time). </w:t>
        <w:br w:type="textWrapping"/>
      </w:r>
    </w:p>
    <w:p w:rsidR="00000000" w:rsidDel="00000000" w:rsidP="00000000" w:rsidRDefault="00000000" w:rsidRPr="00000000" w14:paraId="00000054">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color w:val="0000ff"/>
          <w:highlight w:val="yellow"/>
          <w:rtl w:val="0"/>
        </w:rPr>
        <w:t xml:space="preserve">Note: </w:t>
      </w:r>
      <w:r w:rsidDel="00000000" w:rsidR="00000000" w:rsidRPr="00000000">
        <w:rPr>
          <w:rFonts w:ascii="Calibri" w:cs="Calibri" w:eastAsia="Calibri" w:hAnsi="Calibri"/>
          <w:highlight w:val="yellow"/>
          <w:rtl w:val="0"/>
        </w:rPr>
        <w:t xml:space="preserve">Students must complete and submit the exam in a single sitting within the allotted time once they click on </w:t>
      </w:r>
      <w:r w:rsidDel="00000000" w:rsidR="00000000" w:rsidRPr="00000000">
        <w:rPr>
          <w:rFonts w:ascii="Calibri" w:cs="Calibri" w:eastAsia="Calibri" w:hAnsi="Calibri"/>
          <w:b w:val="1"/>
          <w:highlight w:val="yellow"/>
          <w:rtl w:val="0"/>
        </w:rPr>
        <w:t xml:space="preserve">Take the Quiz.</w:t>
      </w:r>
      <w:r w:rsidDel="00000000" w:rsidR="00000000" w:rsidRPr="00000000">
        <w:rPr>
          <w:rFonts w:ascii="Calibri" w:cs="Calibri" w:eastAsia="Calibri" w:hAnsi="Calibri"/>
          <w:highlight w:val="yellow"/>
          <w:rtl w:val="0"/>
        </w:rPr>
        <w:t xml:space="preserve"> You cannot pause or stop the timer for the exam once you start—even if you visit another page in the course, logout, or your browser quits unexpectedly. You can resume the exam by clicking on the title of the exam in your course and clicking on </w:t>
      </w:r>
      <w:r w:rsidDel="00000000" w:rsidR="00000000" w:rsidRPr="00000000">
        <w:rPr>
          <w:rFonts w:ascii="Calibri" w:cs="Calibri" w:eastAsia="Calibri" w:hAnsi="Calibri"/>
          <w:b w:val="1"/>
          <w:highlight w:val="yellow"/>
          <w:rtl w:val="0"/>
        </w:rPr>
        <w:t xml:space="preserve">Resume the Quiz.</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color w:val="a61c00"/>
          <w:rtl w:val="0"/>
        </w:rPr>
        <w:t xml:space="preserve">IMPORTANT REMINDER:</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rtl w:val="0"/>
        </w:rPr>
        <w:t xml:space="preserve">Each student is expected to work on this </w:t>
      </w:r>
      <w:r w:rsidDel="00000000" w:rsidR="00000000" w:rsidRPr="00000000">
        <w:rPr>
          <w:rFonts w:ascii="Calibri" w:cs="Calibri" w:eastAsia="Calibri" w:hAnsi="Calibri"/>
          <w:b w:val="1"/>
          <w:u w:val="single"/>
          <w:rtl w:val="0"/>
        </w:rPr>
        <w:t xml:space="preserve">individually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within the confines of the University Academic Honesty Policy (see </w:t>
      </w:r>
      <w:hyperlink r:id="rId8">
        <w:r w:rsidDel="00000000" w:rsidR="00000000" w:rsidRPr="00000000">
          <w:rPr>
            <w:rFonts w:ascii="Calibri" w:cs="Calibri" w:eastAsia="Calibri" w:hAnsi="Calibri"/>
            <w:color w:val="1155cc"/>
            <w:u w:val="single"/>
            <w:rtl w:val="0"/>
          </w:rPr>
          <w:t xml:space="preserve">http://www.rowanonline.com</w:t>
        </w:r>
      </w:hyperlink>
      <w:r w:rsidDel="00000000" w:rsidR="00000000" w:rsidRPr="00000000">
        <w:rPr>
          <w:rFonts w:ascii="Calibri" w:cs="Calibri" w:eastAsia="Calibri" w:hAnsi="Calibri"/>
          <w:rtl w:val="0"/>
        </w:rPr>
        <w:t xml:space="preserve"> for University Policies and details).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pacing w:after="0" w:before="0"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jc w:val="right"/>
        <w:rPr>
          <w:rFonts w:ascii="Calibri" w:cs="Calibri" w:eastAsia="Calibri" w:hAnsi="Calibri"/>
          <w:color w:val="000099"/>
          <w:sz w:val="20"/>
          <w:szCs w:val="20"/>
          <w:u w:val="single"/>
        </w:rPr>
      </w:pPr>
      <w:hyperlink w:anchor="3rdcrjn">
        <w:r w:rsidDel="00000000" w:rsidR="00000000" w:rsidRPr="00000000">
          <w:rPr>
            <w:rFonts w:ascii="Calibri" w:cs="Calibri" w:eastAsia="Calibri" w:hAnsi="Calibri"/>
            <w:color w:val="1155cc"/>
            <w:sz w:val="20"/>
            <w:szCs w:val="20"/>
            <w:u w:val="single"/>
            <w:rtl w:val="0"/>
          </w:rPr>
          <w:t xml:space="preserve">Top Menu</w:t>
        </w:r>
      </w:hyperlink>
      <w:r w:rsidDel="00000000" w:rsidR="00000000" w:rsidRPr="00000000">
        <w:rPr>
          <w:rtl w:val="0"/>
        </w:rPr>
      </w:r>
    </w:p>
    <w:sectPr>
      <w:headerReference r:id="rId9" w:type="default"/>
      <w:footerReference r:id="rId10" w:type="default"/>
      <w:pgSz w:h="15840" w:w="12240" w:orient="portrait"/>
      <w:pgMar w:bottom="1440" w:top="187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rPr>
        <w:rFonts w:ascii="Calibri" w:cs="Calibri" w:eastAsia="Calibri" w:hAnsi="Calibri"/>
        <w:sz w:val="18"/>
        <w:szCs w:val="18"/>
      </w:rPr>
    </w:pPr>
    <w:hyperlink r:id="rId1">
      <w:r w:rsidDel="00000000" w:rsidR="00000000" w:rsidRPr="00000000">
        <w:rPr>
          <w:rFonts w:ascii="Calibri" w:cs="Calibri" w:eastAsia="Calibri" w:hAnsi="Calibri"/>
          <w:color w:val="1155cc"/>
          <w:sz w:val="16"/>
          <w:szCs w:val="16"/>
          <w:u w:val="single"/>
          <w:rtl w:val="0"/>
        </w:rPr>
        <w:t xml:space="preserve">Rowan Online</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color w:val="999999"/>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Rowan Global Learning &amp; Partnerships</w:t>
      </w:r>
    </w:hyperlink>
    <w:r w:rsidDel="00000000" w:rsidR="00000000" w:rsidRPr="00000000">
      <w:rPr>
        <w:rFonts w:ascii="Calibri" w:cs="Calibri" w:eastAsia="Calibri" w:hAnsi="Calibri"/>
        <w:color w:val="999999"/>
        <w:sz w:val="16"/>
        <w:szCs w:val="16"/>
        <w:rtl w:val="0"/>
      </w:rPr>
      <w:t xml:space="preserve"> | Weekly Overview | Version 4.1, 2015</w:t>
    </w:r>
    <w:r w:rsidDel="00000000" w:rsidR="00000000" w:rsidRPr="00000000">
      <w:rPr>
        <w:rFonts w:ascii="Calibri" w:cs="Calibri" w:eastAsia="Calibri" w:hAnsi="Calibri"/>
        <w:sz w:val="18"/>
        <w:szCs w:val="18"/>
        <w:rtl w:val="0"/>
      </w:rPr>
      <w:tab/>
      <w:tab/>
      <w:tab/>
      <w:tab/>
    </w:r>
    <w:r w:rsidDel="00000000" w:rsidR="00000000" w:rsidRPr="00000000">
      <w:rPr>
        <w:rFonts w:ascii="Calibri" w:cs="Calibri" w:eastAsia="Calibri" w:hAnsi="Calibri"/>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1771650"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165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trike w:val="0"/>
        <w:u w:val="none"/>
      </w:rPr>
    </w:lvl>
    <w:lvl w:ilvl="1">
      <w:start w:val="1"/>
      <w:numFmt w:val="bullet"/>
      <w:lvlText w:val="●"/>
      <w:lvlJc w:val="left"/>
      <w:pPr>
        <w:ind w:left="1440" w:hanging="360"/>
      </w:pPr>
      <w:rPr>
        <w:rFonts w:ascii="Noto Sans Symbols" w:cs="Noto Sans Symbols" w:eastAsia="Noto Sans Symbols" w:hAnsi="Noto Sans Symbols"/>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rFonts w:ascii="Calibri" w:cs="Calibri" w:eastAsia="Calibri" w:hAnsi="Calibri"/>
      <w:b w:val="1"/>
      <w:color w:val="1f497d"/>
      <w:sz w:val="28"/>
      <w:szCs w:val="28"/>
    </w:rPr>
  </w:style>
  <w:style w:type="paragraph" w:styleId="Heading2">
    <w:name w:val="heading 2"/>
    <w:basedOn w:val="Normal"/>
    <w:next w:val="Normal"/>
    <w:pPr>
      <w:pageBreakBefore w:val="0"/>
      <w:jc w:val="center"/>
    </w:pPr>
    <w:rPr>
      <w:rFonts w:ascii="Calibri" w:cs="Calibri" w:eastAsia="Calibri" w:hAnsi="Calibri"/>
      <w:b w:val="1"/>
    </w:rPr>
  </w:style>
  <w:style w:type="paragraph" w:styleId="Heading3">
    <w:name w:val="heading 3"/>
    <w:basedOn w:val="Normal"/>
    <w:next w:val="Normal"/>
    <w:pPr>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pageBreakBefore w:val="0"/>
      <w:spacing w:after="60" w:before="240" w:lineRule="auto"/>
    </w:pPr>
    <w:rPr>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rPr>
  </w:style>
  <w:style w:type="paragraph" w:styleId="Title">
    <w:name w:val="Title"/>
    <w:basedOn w:val="Normal"/>
    <w:next w:val="Normal"/>
    <w:pPr>
      <w:keepNext w:val="1"/>
      <w:keepLines w:val="1"/>
      <w:pageBreakBefore w:val="0"/>
      <w:jc w:val="center"/>
    </w:pPr>
    <w:rPr>
      <w:rFonts w:ascii="Calibri" w:cs="Calibri" w:eastAsia="Calibri" w:hAnsi="Calibri"/>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ms.gov/Medicare/Quality-Initiatives-Patient-Assessment-Instruments/QualityMeasures/Downloads/Gastroenterology-Measures.pdf" TargetMode="External"/><Relationship Id="rId7" Type="http://schemas.openxmlformats.org/officeDocument/2006/relationships/hyperlink" Target="http://www.rowanonline.com" TargetMode="External"/><Relationship Id="rId8" Type="http://schemas.openxmlformats.org/officeDocument/2006/relationships/hyperlink" Target="http://www.rowanonlin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rowanonline.com" TargetMode="External"/><Relationship Id="rId2" Type="http://schemas.openxmlformats.org/officeDocument/2006/relationships/hyperlink" Target="http://rowan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