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Weeks 3 &amp; 4 Overview</w:t>
      </w:r>
      <w:r w:rsidDel="00000000" w:rsidR="00000000" w:rsidRPr="00000000">
        <w:rPr>
          <w:color w:val="1f497d"/>
          <w:sz w:val="24"/>
          <w:szCs w:val="24"/>
          <w:rtl w:val="0"/>
        </w:rPr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1f497d"/>
          <w:rtl w:val="0"/>
        </w:rPr>
        <w:t xml:space="preserve">QUICK LINKS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ab/>
        <w:tab/>
      </w:r>
      <w:hyperlink w:anchor="30j0zll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Study Guide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 </w:t>
        <w:tab/>
      </w:r>
      <w:hyperlink w:anchor="3dy6vkm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Objectives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  <w:hyperlink w:anchor="4d34og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</w:rPr>
      </w:pPr>
      <w:bookmarkStart w:colFirst="0" w:colLast="0" w:name="_1fob9te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Study Guide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1f497d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7575"/>
        <w:tblGridChange w:id="0">
          <w:tblGrid>
            <w:gridCol w:w="2070"/>
            <w:gridCol w:w="757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Message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Welcome to Weeks 3 &amp; 4 of Understanding Patient Data!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Reminders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numPr>
                <w:ilvl w:val="0"/>
                <w:numId w:val="10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See discussion rubric for grading criteria. </w:t>
            </w:r>
          </w:p>
          <w:p w:rsidR="00000000" w:rsidDel="00000000" w:rsidP="00000000" w:rsidRDefault="00000000" w:rsidRPr="00000000" w14:paraId="0000000B">
            <w:pPr>
              <w:pageBreakBefore w:val="0"/>
              <w:numPr>
                <w:ilvl w:val="0"/>
                <w:numId w:val="10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Recommended reference</w:t>
            </w:r>
          </w:p>
          <w:p w:rsidR="00000000" w:rsidDel="00000000" w:rsidP="00000000" w:rsidRDefault="00000000" w:rsidRPr="00000000" w14:paraId="0000000C">
            <w:pPr>
              <w:pageBreakBefore w:val="0"/>
              <w:numPr>
                <w:ilvl w:val="1"/>
                <w:numId w:val="10"/>
              </w:numP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Harvey, G. (2013).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Excel for dummies.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Hoboken, NJ: John Wiley and Sons, Inc.</w:t>
            </w:r>
          </w:p>
          <w:p w:rsidR="00000000" w:rsidDel="00000000" w:rsidP="00000000" w:rsidRDefault="00000000" w:rsidRPr="00000000" w14:paraId="0000000D">
            <w:pPr>
              <w:pageBreakBefore w:val="0"/>
              <w:numPr>
                <w:ilvl w:val="0"/>
                <w:numId w:val="10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Suggested IT website:</w:t>
            </w:r>
          </w:p>
          <w:p w:rsidR="00000000" w:rsidDel="00000000" w:rsidP="00000000" w:rsidRDefault="00000000" w:rsidRPr="00000000" w14:paraId="0000000E">
            <w:pPr>
              <w:pageBreakBefore w:val="0"/>
              <w:numPr>
                <w:ilvl w:val="1"/>
                <w:numId w:val="10"/>
              </w:numP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Modern analytics in excel.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Available at </w:t>
            </w:r>
            <w:hyperlink r:id="rId6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Excel Help &amp; Learning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</w:rPr>
            </w:pPr>
            <w:bookmarkStart w:colFirst="0" w:colLast="0" w:name="_tyjcwt" w:id="5"/>
            <w:bookmarkEnd w:id="5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Due Dates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DQ 2</w:t>
            </w:r>
          </w:p>
          <w:p w:rsidR="00000000" w:rsidDel="00000000" w:rsidP="00000000" w:rsidRDefault="00000000" w:rsidRPr="00000000" w14:paraId="00000011">
            <w:pPr>
              <w:pageBreakBefore w:val="0"/>
              <w:numPr>
                <w:ilvl w:val="1"/>
                <w:numId w:val="7"/>
              </w:numPr>
              <w:ind w:left="144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Your initial post is due by 11:59 PM ET on Saturday of Week 3.</w:t>
            </w:r>
          </w:p>
          <w:p w:rsidR="00000000" w:rsidDel="00000000" w:rsidP="00000000" w:rsidRDefault="00000000" w:rsidRPr="00000000" w14:paraId="00000012">
            <w:pPr>
              <w:pageBreakBefore w:val="0"/>
              <w:numPr>
                <w:ilvl w:val="1"/>
                <w:numId w:val="7"/>
              </w:numPr>
              <w:ind w:left="144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Your replies are due by 11:59 PM ET on Monday of Week 3.</w:t>
            </w:r>
          </w:p>
          <w:p w:rsidR="00000000" w:rsidDel="00000000" w:rsidP="00000000" w:rsidRDefault="00000000" w:rsidRPr="00000000" w14:paraId="00000013">
            <w:pPr>
              <w:pageBreakBefore w:val="0"/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DQ 3</w:t>
            </w:r>
          </w:p>
          <w:p w:rsidR="00000000" w:rsidDel="00000000" w:rsidP="00000000" w:rsidRDefault="00000000" w:rsidRPr="00000000" w14:paraId="00000014">
            <w:pPr>
              <w:pageBreakBefore w:val="0"/>
              <w:numPr>
                <w:ilvl w:val="1"/>
                <w:numId w:val="7"/>
              </w:numPr>
              <w:ind w:left="1440" w:hanging="36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Your initial post is due by 11:59 PM ET on Saturday of Week 4.</w:t>
            </w:r>
          </w:p>
          <w:p w:rsidR="00000000" w:rsidDel="00000000" w:rsidP="00000000" w:rsidRDefault="00000000" w:rsidRPr="00000000" w14:paraId="00000015">
            <w:pPr>
              <w:pageBreakBefore w:val="0"/>
              <w:numPr>
                <w:ilvl w:val="1"/>
                <w:numId w:val="7"/>
              </w:numPr>
              <w:ind w:left="1440" w:hanging="36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Your replies are due by 11:59 PM ET on Monday of Week 4.</w:t>
            </w:r>
          </w:p>
          <w:p w:rsidR="00000000" w:rsidDel="00000000" w:rsidP="00000000" w:rsidRDefault="00000000" w:rsidRPr="00000000" w14:paraId="00000016">
            <w:pPr>
              <w:pageBreakBefore w:val="0"/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Assignment 1 -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Working with Electronic Health Record Data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numPr>
                <w:ilvl w:val="1"/>
                <w:numId w:val="7"/>
              </w:numPr>
              <w:ind w:left="144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Submit the completed assignment via CANVAS LMS, by Monday of Week 4 at 11:59 pm.</w:t>
            </w:r>
          </w:p>
        </w:tc>
      </w:tr>
    </w:tbl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0" w:lineRule="auto"/>
        <w:jc w:val="right"/>
        <w:rPr>
          <w:rFonts w:ascii="Calibri" w:cs="Calibri" w:eastAsia="Calibri" w:hAnsi="Calibri"/>
          <w:sz w:val="20"/>
          <w:szCs w:val="20"/>
        </w:rPr>
      </w:pPr>
      <w:hyperlink w:anchor="17dp8vu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Top 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1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</w:rPr>
      </w:pPr>
      <w:bookmarkStart w:colFirst="0" w:colLast="0" w:name="_1t3h5sf" w:id="7"/>
      <w:bookmarkEnd w:id="7"/>
      <w:r w:rsidDel="00000000" w:rsidR="00000000" w:rsidRPr="00000000">
        <w:rPr>
          <w:rFonts w:ascii="Calibri" w:cs="Calibri" w:eastAsia="Calibri" w:hAnsi="Calibri"/>
          <w:rtl w:val="0"/>
        </w:rPr>
        <w:t xml:space="preserve">Objectives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0"/>
        </w:tabs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student will be able to recognize the importance of patient data management.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4"/>
        </w:numPr>
        <w:tabs>
          <w:tab w:val="left" w:leader="none" w:pos="720"/>
        </w:tabs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student will be able to identify and access sources of patient data.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libri" w:cs="Calibri" w:eastAsia="Calibri" w:hAnsi="Calibri"/>
          <w:sz w:val="20"/>
          <w:szCs w:val="20"/>
        </w:rPr>
      </w:pPr>
      <w:hyperlink w:anchor="17dp8vu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Top 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2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</w:rPr>
      </w:pPr>
      <w:bookmarkStart w:colFirst="0" w:colLast="0" w:name="_2s8eyo1" w:id="9"/>
      <w:bookmarkEnd w:id="9"/>
      <w:r w:rsidDel="00000000" w:rsidR="00000000" w:rsidRPr="00000000">
        <w:rPr>
          <w:rFonts w:ascii="Calibri" w:cs="Calibri" w:eastAsia="Calibri" w:hAnsi="Calibri"/>
          <w:rtl w:val="0"/>
        </w:rPr>
        <w:t xml:space="preserve">Instructions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Lesson 3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8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Required reading, text(s):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spacing w:after="0" w:before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Strome, T. (2013). Chapter 3 – Developing an analytic strategy to drive change (pp. 29-50). In T. L. Strome,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Healthcare analytics for quality and performance improvement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Hoboken, NJ: Wiley Publishers.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spacing w:after="0" w:before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Brown, M. S. (2014). Chapters 8 – Digging into your data (pp.111-118). In M. S. Brown,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Data mining for dummies.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Hoboken, NJ: Wiley Publishers.</w:t>
      </w:r>
    </w:p>
    <w:p w:rsidR="00000000" w:rsidDel="00000000" w:rsidP="00000000" w:rsidRDefault="00000000" w:rsidRPr="00000000" w14:paraId="0000002A">
      <w:pPr>
        <w:pageBreakBefore w:val="0"/>
        <w:spacing w:after="0" w:before="0" w:line="240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8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Required reading, articles: 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6"/>
        </w:numPr>
        <w:spacing w:after="0" w:before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Bellazzi, R. (2014). Big data and biomedical informatics: A challenging opportunity. 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International Medical Informatics Association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[IMIA] Yearbook of Medical Informatics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22(9), 8-13. doi:10.15265/IY-2014-0024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6"/>
        </w:numPr>
        <w:spacing w:after="0" w:before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Case, M., Furlong, L. I., Albanell, J., Altman, R. B., Bellazzi, R., Boyer, S., … Sanz, F. (2013). Improving data and knowledge management to better integrate health care and research.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Journal of Internal Medicine, 274,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321-328. doi: 10.1111/joim.12105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6"/>
        </w:numPr>
        <w:spacing w:after="0" w:before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Chiang, F., &amp; Gairola, D. (2018). InfoClean: Protecting sensitive information in data cleaning.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Journal of Data and Information Quality,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9(4), 22:1-22:26. doi:10.1145/3190577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View the following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Lecture/Voice over PowerPoint: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9"/>
        </w:numPr>
        <w:spacing w:after="0" w:before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Lecture 2-1 -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Data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DQ 2.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Respond to the question(s) below for your initial post on the DQ 2 Discussion Board. Support your responses with a referenced rationale.</w:t>
      </w:r>
    </w:p>
    <w:p w:rsidR="00000000" w:rsidDel="00000000" w:rsidP="00000000" w:rsidRDefault="00000000" w:rsidRPr="00000000" w14:paraId="00000034">
      <w:pPr>
        <w:pageBreakBefore w:val="0"/>
        <w:spacing w:after="0"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What is the fundamental objective of healthcare analytics?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Identify the criteria for value-added activities in healthcare (provide examples of each).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Why are standards necessary to facilitate patient data translation?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Why is data cleaning necessary?</w:t>
      </w:r>
    </w:p>
    <w:p w:rsidR="00000000" w:rsidDel="00000000" w:rsidP="00000000" w:rsidRDefault="00000000" w:rsidRPr="00000000" w14:paraId="00000039">
      <w:pPr>
        <w:pageBreakBefore w:val="0"/>
        <w:spacing w:after="0" w:before="0"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Post your initial response by 11:59 pm Saturday. Respond to the posts of 3 individual peers on at least two separate days before the end of each weekly discussion by 11:59 pm Monday.</w:t>
      </w:r>
    </w:p>
    <w:p w:rsidR="00000000" w:rsidDel="00000000" w:rsidP="00000000" w:rsidRDefault="00000000" w:rsidRPr="00000000" w14:paraId="0000003A">
      <w:pPr>
        <w:pageBreakBefore w:val="0"/>
        <w:spacing w:after="0" w:before="0"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Please be sure to reference the Discussion Questions guide in the Assignment Outline section of the Syllabus for further assignment details.</w:t>
      </w:r>
    </w:p>
    <w:p w:rsidR="00000000" w:rsidDel="00000000" w:rsidP="00000000" w:rsidRDefault="00000000" w:rsidRPr="00000000" w14:paraId="0000003B">
      <w:pPr>
        <w:pageBreakBefore w:val="0"/>
        <w:spacing w:after="0" w:before="0" w:line="240" w:lineRule="auto"/>
        <w:ind w:left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a61c00"/>
          <w:rtl w:val="0"/>
        </w:rPr>
        <w:t xml:space="preserve">IMPORTANT REMINDER: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Each student is expected to work on this 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individually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and within the confines of the University Academic Honesty Policy (see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http://www.rowanonline.com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for University Policies and details).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Lesson 4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3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Required reading, text(s):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2"/>
        </w:numPr>
        <w:spacing w:after="0" w:before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Strome, T. (2013). Chapter 4 – Defining healthcare quality and value (pp.51-74). In T. L. Strome,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Healthcare analytics for quality and performance improvement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Hoboken, NJ: Wiley Publishers.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2"/>
        </w:numPr>
        <w:spacing w:after="0" w:before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Brown, M. S. (2014). Chapters 10 – Ferreting out public data sources (pp. 141-162). In M. S. Brown,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Data mining for dummies.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Hoboken, NJ: Wiley Publishers.</w:t>
      </w:r>
    </w:p>
    <w:p w:rsidR="00000000" w:rsidDel="00000000" w:rsidP="00000000" w:rsidRDefault="00000000" w:rsidRPr="00000000" w14:paraId="00000042">
      <w:pPr>
        <w:pageBreakBefore w:val="0"/>
        <w:spacing w:after="0" w:before="0" w:line="240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3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Required reading, articles: 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5"/>
        </w:numPr>
        <w:spacing w:after="0" w:before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 Central Science. (2016). </w:t>
      </w:r>
      <w:hyperlink r:id="rId8">
        <w:r w:rsidDel="00000000" w:rsidR="00000000" w:rsidRPr="00000000">
          <w:rPr>
            <w:rFonts w:ascii="Calibri" w:cs="Calibri" w:eastAsia="Calibri" w:hAnsi="Calibri"/>
            <w:i w:val="1"/>
            <w:color w:val="1155cc"/>
            <w:u w:val="single"/>
            <w:rtl w:val="0"/>
          </w:rPr>
          <w:t xml:space="preserve">10 great healthcare data sets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[weblog]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5"/>
        </w:numPr>
        <w:spacing w:after="0" w:before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Onstad, K., Khan, A., McCartney, J. (2013). </w:t>
      </w:r>
      <w:hyperlink r:id="rId9">
        <w:r w:rsidDel="00000000" w:rsidR="00000000" w:rsidRPr="00000000">
          <w:rPr>
            <w:rFonts w:ascii="Calibri" w:cs="Calibri" w:eastAsia="Calibri" w:hAnsi="Calibri"/>
            <w:i w:val="1"/>
            <w:color w:val="1155cc"/>
            <w:u w:val="single"/>
            <w:rtl w:val="0"/>
          </w:rPr>
          <w:t xml:space="preserve">User’s guide for the inventory of benchmarking databases for adapted for Microsoft® Excel version</w:t>
        </w:r>
      </w:hyperlink>
      <w:hyperlink r:id="rId10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. [16pp.]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. Mathematica Policy Research.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5"/>
        </w:numPr>
        <w:spacing w:after="0" w:before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von Zernichow, B. M., &amp; Roman, D. (2017). Usability of visual data profiling in data cleaning and transformation. In: Panetto H. et al. (eds.)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On the move to meaningful internet systems. OTM 2017 Conferences. OTM 2017. Lecture Notes in Computer Science,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10574,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480-496. doi: 10.1007/978-3-319-69459-7_32</w:t>
      </w:r>
    </w:p>
    <w:p w:rsidR="00000000" w:rsidDel="00000000" w:rsidP="00000000" w:rsidRDefault="00000000" w:rsidRPr="00000000" w14:paraId="00000047">
      <w:pPr>
        <w:pageBreakBefore w:val="0"/>
        <w:spacing w:after="0"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13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View the following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Lecture/Voice over PowerPoint: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6"/>
        </w:numPr>
        <w:spacing w:after="0" w:before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Lecture 2.2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Sources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0" w:before="0" w:line="240" w:lineRule="auto"/>
        <w:ind w:left="144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13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DQ 3.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Respond to the question(s) below for your initial post on the DQ 3 Discussion Board. Support your responses with a referenced rationale.</w:t>
      </w:r>
    </w:p>
    <w:p w:rsidR="00000000" w:rsidDel="00000000" w:rsidP="00000000" w:rsidRDefault="00000000" w:rsidRPr="00000000" w14:paraId="0000004C">
      <w:pPr>
        <w:pageBreakBefore w:val="0"/>
        <w:spacing w:after="0"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widowControl w:val="1"/>
        <w:numPr>
          <w:ilvl w:val="0"/>
          <w:numId w:val="4"/>
        </w:numPr>
        <w:spacing w:after="0" w:before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Describe the continuum of healthcare quality measurement and its relationship to value.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4"/>
        </w:numPr>
        <w:spacing w:after="0" w:before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Explain the challenges of working with data found in the electronic health record; use examples from the “Sample patient records”. 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4"/>
        </w:numPr>
        <w:spacing w:after="0" w:before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a link provided by </w:t>
      </w:r>
      <w:hyperlink r:id="rId11">
        <w:r w:rsidDel="00000000" w:rsidR="00000000" w:rsidRPr="00000000">
          <w:rPr>
            <w:rFonts w:ascii="Calibri" w:cs="Calibri" w:eastAsia="Calibri" w:hAnsi="Calibri"/>
            <w:i w:val="1"/>
            <w:color w:val="1155cc"/>
            <w:u w:val="single"/>
            <w:rtl w:val="0"/>
          </w:rPr>
          <w:t xml:space="preserve">Data Science Central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to identify and summarize at least one specific patient data set. </w:t>
      </w:r>
    </w:p>
    <w:p w:rsidR="00000000" w:rsidDel="00000000" w:rsidP="00000000" w:rsidRDefault="00000000" w:rsidRPr="00000000" w14:paraId="00000050">
      <w:pPr>
        <w:pageBreakBefore w:val="0"/>
        <w:spacing w:after="0" w:before="0"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pacing w:after="0" w:before="0"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Post your initial response by 11:59 pm Saturday. Respond to the posts of 3 individual peers on at least two separate days before the end of each weekly discussion by 11:59 pm Monday.</w:t>
      </w:r>
    </w:p>
    <w:p w:rsidR="00000000" w:rsidDel="00000000" w:rsidP="00000000" w:rsidRDefault="00000000" w:rsidRPr="00000000" w14:paraId="00000052">
      <w:pPr>
        <w:pageBreakBefore w:val="0"/>
        <w:spacing w:after="0" w:before="0"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Please be sure to reference the Discussion Questions guide in the Assignment Outline section of the Syllabus for further assignment details.</w:t>
      </w:r>
    </w:p>
    <w:p w:rsidR="00000000" w:rsidDel="00000000" w:rsidP="00000000" w:rsidRDefault="00000000" w:rsidRPr="00000000" w14:paraId="00000053">
      <w:pPr>
        <w:pageBreakBefore w:val="0"/>
        <w:spacing w:after="0" w:before="0"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13"/>
        </w:numPr>
        <w:tabs>
          <w:tab w:val="left" w:leader="none" w:pos="1080"/>
        </w:tabs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Assignment 1.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Organizing Data in Excel - Working with Electronic Health Record Data.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55">
      <w:pPr>
        <w:pageBreakBefore w:val="0"/>
        <w:spacing w:after="0" w:before="0" w:line="240" w:lineRule="auto"/>
        <w:ind w:left="720" w:firstLine="0"/>
        <w:rPr>
          <w:rFonts w:ascii="Calibri" w:cs="Calibri" w:eastAsia="Calibri" w:hAnsi="Calibri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pacing w:after="0" w:before="0"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Refer to the following documents located in the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Assignment 1 Resources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page in this week’s module.</w:t>
      </w:r>
    </w:p>
    <w:p w:rsidR="00000000" w:rsidDel="00000000" w:rsidP="00000000" w:rsidRDefault="00000000" w:rsidRPr="00000000" w14:paraId="00000057">
      <w:pPr>
        <w:pageBreakBefore w:val="0"/>
        <w:spacing w:after="0" w:before="0" w:line="240" w:lineRule="auto"/>
        <w:ind w:left="720" w:firstLine="0"/>
        <w:rPr>
          <w:rFonts w:ascii="Calibri" w:cs="Calibri" w:eastAsia="Calibri" w:hAnsi="Calibri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numPr>
          <w:ilvl w:val="1"/>
          <w:numId w:val="15"/>
        </w:numPr>
        <w:spacing w:after="0" w:before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3.3a BMI-Understanding and Calculating.pdf</w:t>
      </w:r>
    </w:p>
    <w:p w:rsidR="00000000" w:rsidDel="00000000" w:rsidP="00000000" w:rsidRDefault="00000000" w:rsidRPr="00000000" w14:paraId="00000059">
      <w:pPr>
        <w:pageBreakBefore w:val="0"/>
        <w:numPr>
          <w:ilvl w:val="1"/>
          <w:numId w:val="15"/>
        </w:numPr>
        <w:spacing w:after="0" w:before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3.3a Case Studies.pdf</w:t>
      </w:r>
    </w:p>
    <w:p w:rsidR="00000000" w:rsidDel="00000000" w:rsidP="00000000" w:rsidRDefault="00000000" w:rsidRPr="00000000" w14:paraId="0000005A">
      <w:pPr>
        <w:pageBreakBefore w:val="0"/>
        <w:numPr>
          <w:ilvl w:val="1"/>
          <w:numId w:val="15"/>
        </w:numPr>
        <w:spacing w:after="0" w:before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3.3a Shock Index-Understanding and Calculating.pdf</w:t>
      </w:r>
    </w:p>
    <w:p w:rsidR="00000000" w:rsidDel="00000000" w:rsidP="00000000" w:rsidRDefault="00000000" w:rsidRPr="00000000" w14:paraId="0000005B">
      <w:pPr>
        <w:pageBreakBefore w:val="0"/>
        <w:spacing w:after="0"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pacing w:after="0" w:before="0" w:line="240" w:lineRule="auto"/>
        <w:ind w:left="1440" w:hanging="72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Objectives -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The student will work through data manipulation and formatting processes to: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Obtain familiarity with the print format of an electronic patient health record.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an excel spreadsheet as the basis for data management.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Demonstrate ability to work with de-identified patient data. 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Identify missing values and the construction of (12) data values.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Demonstrate ability to identify and correct basic errors in data.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Demonstrate ability to work with descriptive statistics.</w:t>
      </w:r>
    </w:p>
    <w:p w:rsidR="00000000" w:rsidDel="00000000" w:rsidP="00000000" w:rsidRDefault="00000000" w:rsidRPr="00000000" w14:paraId="00000063">
      <w:pPr>
        <w:pageBreakBefore w:val="0"/>
        <w:spacing w:after="0"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tabs>
          <w:tab w:val="left" w:leader="none" w:pos="630"/>
          <w:tab w:val="left" w:leader="none" w:pos="720"/>
        </w:tabs>
        <w:spacing w:after="0" w:before="0" w:line="240" w:lineRule="auto"/>
        <w:ind w:left="1440" w:hanging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Instructions: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3"/>
        </w:numPr>
        <w:spacing w:after="0" w:before="0" w:line="24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an Excel spreadsheet using the sample patient records in the file named:</w:t>
      </w:r>
    </w:p>
    <w:p w:rsidR="00000000" w:rsidDel="00000000" w:rsidP="00000000" w:rsidRDefault="00000000" w:rsidRPr="00000000" w14:paraId="00000066">
      <w:pPr>
        <w:pageBreakBefore w:val="0"/>
        <w:numPr>
          <w:ilvl w:val="1"/>
          <w:numId w:val="3"/>
        </w:numPr>
        <w:spacing w:after="0" w:before="0" w:line="240" w:lineRule="auto"/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DA 03510 Case studies.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3"/>
        </w:numPr>
        <w:spacing w:after="0" w:before="0" w:line="24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Demonstrate knowledge of confidentiality of patient data.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3"/>
        </w:numPr>
        <w:spacing w:after="0" w:before="0" w:line="24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individual variables (12) for patient record-ID, demographics, vital signs, etc. 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3"/>
        </w:numPr>
        <w:spacing w:after="0" w:before="0" w:line="24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Construct the following additional Excel spreadsheet variables for each record:</w:t>
      </w:r>
    </w:p>
    <w:p w:rsidR="00000000" w:rsidDel="00000000" w:rsidP="00000000" w:rsidRDefault="00000000" w:rsidRPr="00000000" w14:paraId="0000006A">
      <w:pPr>
        <w:pageBreakBefore w:val="0"/>
        <w:numPr>
          <w:ilvl w:val="1"/>
          <w:numId w:val="3"/>
        </w:numPr>
        <w:spacing w:after="0" w:before="0" w:line="240" w:lineRule="auto"/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Insert Excel variable formula to auto create new value for 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BMI = kg/m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 where kg is a person's weight in kilograms and m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 is their height in meters squared, a healthy weight 18.5 to 24.9 [normal]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numPr>
          <w:ilvl w:val="1"/>
          <w:numId w:val="3"/>
        </w:numPr>
        <w:spacing w:after="0" w:before="0" w:line="240" w:lineRule="auto"/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Insert Excel variable formula to auto create new value for 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Shock index (SI) = heart rate/systolic blood pressure (HR/SBP), </w:t>
      </w:r>
      <w:r w:rsidDel="00000000" w:rsidR="00000000" w:rsidRPr="00000000">
        <w:rPr>
          <w:rFonts w:ascii="Calibri" w:cs="Calibri" w:eastAsia="Calibri" w:hAnsi="Calibri"/>
          <w:i w:val="1"/>
          <w:color w:val="222222"/>
          <w:highlight w:val="white"/>
          <w:rtl w:val="0"/>
        </w:rPr>
        <w:t xml:space="preserve">a normal range of 0.5 to 0.7 in healthy adults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. </w:t>
      </w:r>
    </w:p>
    <w:p w:rsidR="00000000" w:rsidDel="00000000" w:rsidP="00000000" w:rsidRDefault="00000000" w:rsidRPr="00000000" w14:paraId="0000006C">
      <w:pPr>
        <w:pageBreakBefore w:val="0"/>
        <w:spacing w:after="0" w:before="0" w:line="240" w:lineRule="auto"/>
        <w:ind w:left="72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pacing w:after="0" w:before="0"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Submit completed excel spreadsheet and a variable (values) log via CANVAS LMS. The variable values log may be included on the bottom of the spreadsheet as a key to the terms and abbreviations used. </w:t>
      </w:r>
    </w:p>
    <w:p w:rsidR="00000000" w:rsidDel="00000000" w:rsidP="00000000" w:rsidRDefault="00000000" w:rsidRPr="00000000" w14:paraId="0000006E">
      <w:pPr>
        <w:pageBreakBefore w:val="0"/>
        <w:spacing w:after="0" w:before="0" w:line="240" w:lineRule="auto"/>
        <w:ind w:left="72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after="0" w:before="0"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assignment must be typed and submitted electronically in MS Excel (.xls or .xlsx) format. The spreadsheet file must be named in the following format: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Lastname_Assignment1.xls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highlight w:val="yellow"/>
          <w:u w:val="single"/>
          <w:rtl w:val="0"/>
        </w:rPr>
        <w:t xml:space="preserve">DO NOT submit the assignment as a .pdf or .docx file.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Submit your completed document to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Assignment 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listed on the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Modules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Assignments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pages, as a file attachment.</w:t>
      </w:r>
    </w:p>
    <w:p w:rsidR="00000000" w:rsidDel="00000000" w:rsidP="00000000" w:rsidRDefault="00000000" w:rsidRPr="00000000" w14:paraId="00000070">
      <w:pPr>
        <w:pageBreakBefore w:val="0"/>
        <w:ind w:left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1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6405"/>
        <w:gridCol w:w="1905"/>
        <w:tblGridChange w:id="0">
          <w:tblGrid>
            <w:gridCol w:w="6405"/>
            <w:gridCol w:w="1905"/>
          </w:tblGrid>
        </w:tblGridChange>
      </w:tblGrid>
      <w:tr>
        <w:trPr>
          <w:cantSplit w:val="0"/>
          <w:tblHeader w:val="0"/>
        </w:trPr>
        <w:tc>
          <w:tcPr>
            <w:shd w:fill="4f81bd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71">
            <w:pPr>
              <w:pageBreakBefore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Assignment 1 - Working with eHR Grading Rubric</w:t>
            </w:r>
          </w:p>
        </w:tc>
        <w:tc>
          <w:tcPr>
            <w:shd w:fill="4f81bd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Final Grade Points</w:t>
            </w:r>
          </w:p>
        </w:tc>
      </w:tr>
      <w:tr>
        <w:trPr>
          <w:cantSplit w:val="0"/>
          <w:tblHeader w:val="0"/>
        </w:trPr>
        <w:tc>
          <w:tcPr>
            <w:shd w:fill="d3dfee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73">
            <w:pPr>
              <w:pageBreakBefore w:val="0"/>
              <w:ind w:left="9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Creation of Excel spreadsheet of patient data.</w:t>
            </w:r>
          </w:p>
        </w:tc>
        <w:tc>
          <w:tcPr>
            <w:shd w:fill="d3dfee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75">
            <w:pPr>
              <w:pageBreakBefore w:val="0"/>
              <w:ind w:left="9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De-identification of patient data.</w:t>
            </w:r>
          </w:p>
        </w:tc>
        <w:tc>
          <w:tcPr>
            <w:shd w:fill="auto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d3dfee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77">
            <w:pPr>
              <w:pageBreakBefore w:val="0"/>
              <w:ind w:left="9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Constructed data (impute) values for Body Mass Index (BMI). </w:t>
            </w:r>
          </w:p>
        </w:tc>
        <w:tc>
          <w:tcPr>
            <w:shd w:fill="d3dfee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78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79">
            <w:pPr>
              <w:pageBreakBefore w:val="0"/>
              <w:ind w:left="9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Constructed data (impute) values for Shock Index (SI).</w:t>
            </w:r>
          </w:p>
        </w:tc>
        <w:tc>
          <w:tcPr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7A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d3dfee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7B">
            <w:pPr>
              <w:pageBreakBefore w:val="0"/>
              <w:ind w:left="9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Identification and management of missing values.</w:t>
            </w:r>
          </w:p>
        </w:tc>
        <w:tc>
          <w:tcPr>
            <w:shd w:fill="d3dfee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7C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7D">
            <w:pPr>
              <w:pageBreakBefore w:val="0"/>
              <w:ind w:left="9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Display of descriptive statistics with inferences (interpretive statement(s).</w:t>
            </w:r>
          </w:p>
        </w:tc>
        <w:tc>
          <w:tcPr>
            <w:shd w:fill="auto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7E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d3dfee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7F">
            <w:pPr>
              <w:pageBreakBefore w:val="0"/>
              <w:ind w:left="90" w:firstLine="0"/>
              <w:rPr>
                <w:rFonts w:ascii="Calibri" w:cs="Calibri" w:eastAsia="Calibri" w:hAnsi="Calibri"/>
                <w:b w:val="1"/>
                <w:shd w:fill="cfe2f3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cfe2f3" w:val="clear"/>
                <w:rtl w:val="0"/>
              </w:rPr>
              <w:t xml:space="preserve">Spreadsheet variable log (key of terms): Identification of abbreviated terms for data entry values, and explanation for data omissions.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80">
            <w:pPr>
              <w:pageBreakBefore w:val="0"/>
              <w:jc w:val="center"/>
              <w:rPr>
                <w:rFonts w:ascii="Calibri" w:cs="Calibri" w:eastAsia="Calibri" w:hAnsi="Calibri"/>
                <w:shd w:fill="cfe2f3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cfe2f3" w:val="clear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81">
            <w:pPr>
              <w:pageBreakBefore w:val="0"/>
              <w:ind w:left="9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86.0" w:type="dxa"/>
              <w:left w:w="86.0" w:type="dxa"/>
              <w:bottom w:w="86.0" w:type="dxa"/>
              <w:right w:w="86.0" w:type="dxa"/>
            </w:tcMar>
          </w:tcPr>
          <w:p w:rsidR="00000000" w:rsidDel="00000000" w:rsidP="00000000" w:rsidRDefault="00000000" w:rsidRPr="00000000" w14:paraId="00000082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100/100</w:t>
            </w:r>
          </w:p>
        </w:tc>
      </w:tr>
    </w:tbl>
    <w:p w:rsidR="00000000" w:rsidDel="00000000" w:rsidP="00000000" w:rsidRDefault="00000000" w:rsidRPr="00000000" w14:paraId="00000083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a61c00"/>
          <w:rtl w:val="0"/>
        </w:rPr>
        <w:t xml:space="preserve">IMPORTANT REMINDER:</w:t>
      </w: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Each student is expected to work on this 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individually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and within the confines of the University Academic Honesty Policy (see </w:t>
      </w:r>
      <w:hyperlink r:id="rId12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http://www.rowanonline.com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for University Policies and details). </w:t>
      </w:r>
    </w:p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libri" w:cs="Calibri" w:eastAsia="Calibri" w:hAnsi="Calibri"/>
          <w:color w:val="000099"/>
          <w:sz w:val="20"/>
          <w:szCs w:val="20"/>
          <w:u w:val="single"/>
        </w:rPr>
      </w:pPr>
      <w:hyperlink w:anchor="17dp8vu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Top Menu</w:t>
        </w:r>
      </w:hyperlink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 w:orient="portrait"/>
      <w:pgMar w:bottom="1440" w:top="1872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rFonts w:ascii="Calibri" w:cs="Calibri" w:eastAsia="Calibri" w:hAnsi="Calibri"/>
        <w:sz w:val="18"/>
        <w:szCs w:val="18"/>
      </w:rPr>
    </w:pPr>
    <w:hyperlink r:id="rId1">
      <w:r w:rsidDel="00000000" w:rsidR="00000000" w:rsidRPr="00000000">
        <w:rPr>
          <w:rFonts w:ascii="Calibri" w:cs="Calibri" w:eastAsia="Calibri" w:hAnsi="Calibri"/>
          <w:color w:val="1155cc"/>
          <w:sz w:val="16"/>
          <w:szCs w:val="16"/>
          <w:u w:val="single"/>
          <w:rtl w:val="0"/>
        </w:rPr>
        <w:t xml:space="preserve">Rowan Online</w:t>
      </w:r>
    </w:hyperlink>
    <w:r w:rsidDel="00000000" w:rsidR="00000000" w:rsidRPr="00000000">
      <w:rPr>
        <w:rFonts w:ascii="Calibri" w:cs="Calibri" w:eastAsia="Calibri" w:hAnsi="Calibri"/>
        <w:sz w:val="16"/>
        <w:szCs w:val="16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color w:val="999999"/>
        <w:sz w:val="16"/>
        <w:szCs w:val="16"/>
        <w:rtl w:val="0"/>
      </w:rPr>
      <w:t xml:space="preserve">| </w:t>
    </w:r>
    <w:hyperlink r:id="rId2">
      <w:r w:rsidDel="00000000" w:rsidR="00000000" w:rsidRPr="00000000">
        <w:rPr>
          <w:rFonts w:ascii="Calibri" w:cs="Calibri" w:eastAsia="Calibri" w:hAnsi="Calibri"/>
          <w:color w:val="1155cc"/>
          <w:sz w:val="16"/>
          <w:szCs w:val="16"/>
          <w:u w:val="single"/>
          <w:rtl w:val="0"/>
        </w:rPr>
        <w:t xml:space="preserve">Rowan Global Learning &amp; Partnerships</w:t>
      </w:r>
    </w:hyperlink>
    <w:r w:rsidDel="00000000" w:rsidR="00000000" w:rsidRPr="00000000">
      <w:rPr>
        <w:rFonts w:ascii="Calibri" w:cs="Calibri" w:eastAsia="Calibri" w:hAnsi="Calibri"/>
        <w:color w:val="999999"/>
        <w:sz w:val="16"/>
        <w:szCs w:val="16"/>
        <w:rtl w:val="0"/>
      </w:rPr>
      <w:t xml:space="preserve"> | Weekly Overview | Version 4.1, 2015</w:t>
    </w:r>
    <w:r w:rsidDel="00000000" w:rsidR="00000000" w:rsidRPr="00000000">
      <w:rPr>
        <w:rFonts w:ascii="Calibri" w:cs="Calibri" w:eastAsia="Calibri" w:hAnsi="Calibri"/>
        <w:sz w:val="18"/>
        <w:szCs w:val="18"/>
        <w:rtl w:val="0"/>
      </w:rPr>
      <w:tab/>
      <w:tab/>
      <w:tab/>
      <w:tab/>
    </w:r>
    <w:r w:rsidDel="00000000" w:rsidR="00000000" w:rsidRPr="00000000">
      <w:rPr>
        <w:rFonts w:ascii="Calibri" w:cs="Calibri" w:eastAsia="Calibri" w:hAnsi="Calibri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rFonts w:ascii="Calibri" w:cs="Calibri" w:eastAsia="Calibri" w:hAnsi="Calibri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rFonts w:ascii="Calibri" w:cs="Calibri" w:eastAsia="Calibri" w:hAnsi="Calibri"/>
        <w:sz w:val="20"/>
        <w:szCs w:val="20"/>
      </w:rPr>
    </w:pPr>
    <w:r w:rsidDel="00000000" w:rsidR="00000000" w:rsidRPr="00000000">
      <w:rPr>
        <w:rFonts w:ascii="Arial" w:cs="Arial" w:eastAsia="Arial" w:hAnsi="Arial"/>
        <w:rtl w:val="0"/>
      </w:rPr>
      <w:br w:type="textWrapping"/>
    </w:r>
    <w:r w:rsidDel="00000000" w:rsidR="00000000" w:rsidRPr="00000000">
      <w:rPr>
        <w:rFonts w:ascii="Arial" w:cs="Arial" w:eastAsia="Arial" w:hAnsi="Arial"/>
      </w:rPr>
      <w:drawing>
        <wp:inline distB="114300" distT="114300" distL="114300" distR="114300">
          <wp:extent cx="1771650" cy="4191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71650" cy="419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216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432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648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➥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trike w:val="0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</w:pPr>
    <w:rPr>
      <w:rFonts w:ascii="Calibri" w:cs="Calibri" w:eastAsia="Calibri" w:hAnsi="Calibri"/>
      <w:b w:val="1"/>
      <w:color w:val="1f497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jc w:val="center"/>
    </w:pPr>
    <w:rPr>
      <w:rFonts w:ascii="Calibri" w:cs="Calibri" w:eastAsia="Calibri" w:hAnsi="Calibri"/>
      <w:b w:val="1"/>
    </w:rPr>
  </w:style>
  <w:style w:type="paragraph" w:styleId="Heading3">
    <w:name w:val="heading 3"/>
    <w:basedOn w:val="Normal"/>
    <w:next w:val="Normal"/>
    <w:pPr>
      <w:pageBreakBefore w:val="0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pageBreakBefore w:val="0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spacing w:after="60" w:before="24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jc w:val="center"/>
    </w:pPr>
    <w:rPr>
      <w:rFonts w:ascii="Calibri" w:cs="Calibri" w:eastAsia="Calibri" w:hAnsi="Calibri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datasciencecentral.com/profiles/blogs/" TargetMode="External"/><Relationship Id="rId10" Type="http://schemas.openxmlformats.org/officeDocument/2006/relationships/hyperlink" Target="https://nhqrnet.ahrq.gov/inhqrdr/static/xls/Benchmarking_UseGuide.pdf" TargetMode="External"/><Relationship Id="rId13" Type="http://schemas.openxmlformats.org/officeDocument/2006/relationships/header" Target="header1.xml"/><Relationship Id="rId12" Type="http://schemas.openxmlformats.org/officeDocument/2006/relationships/hyperlink" Target="http://www.rowanonline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hqrnet.ahrq.gov/inhqrdr/static/xls/Benchmarking_UseGuide.pdf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support.office.com/en-US/Excel" TargetMode="External"/><Relationship Id="rId7" Type="http://schemas.openxmlformats.org/officeDocument/2006/relationships/hyperlink" Target="http://www.rowanonline.com" TargetMode="External"/><Relationship Id="rId8" Type="http://schemas.openxmlformats.org/officeDocument/2006/relationships/hyperlink" Target="https://www.datasciencecentral.com/profiles/blogs/10-great-healthcare-data-set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rowanonline.com" TargetMode="External"/><Relationship Id="rId2" Type="http://schemas.openxmlformats.org/officeDocument/2006/relationships/hyperlink" Target="http://rowanu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