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A1628"/>
          <w:sz w:val="40"/>
          <w:szCs w:val="40"/>
        </w:rPr>
        <w:t xml:space="preserve">Improvements and Technical Guide</w:t>
      </w:r>
    </w:p>
    <w:p>
      <w:pPr>
        <w:spacing w:after="60"/>
      </w:pPr>
      <w:r>
        <w:rPr>
          <w:color w:val="0D7C99"/>
          <w:sz w:val="26"/>
          <w:szCs w:val="26"/>
        </w:rPr>
        <w:t xml:space="preserve">Build a RAG Agent in Copilot Studio (No Code)</w:t>
      </w:r>
    </w:p>
    <w:p>
      <w:pPr>
        <w:pBdr>
          <w:bottom w:val="single" w:color="00B4D8" w:sz="8" w:space="4"/>
        </w:pBdr>
        <w:spacing w:after="200"/>
      </w:pPr>
      <w:r>
        <w:rPr>
          <w:color w:val="555555"/>
          <w:sz w:val="20"/>
          <w:szCs w:val="20"/>
        </w:rPr>
        <w:t xml:space="preserve">by Mayank Chugh  |  AI Engineer • Azure • GenAI • RAG</w:t>
      </w:r>
    </w:p>
    <w:p>
      <w:pPr>
        <w:spacing w:after="120"/>
      </w:pPr>
      <w:r>
        <w:t xml:space="preserve">This guide lists corrections, improvements and cautions for the episode. It supports the script and runbooks and does not repeat them.</w:t>
      </w:r>
    </w:p>
    <w:p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Status labels: Verified external = checked against Microsoft's documentation. General knowledge = standard definition. Validate = confirm on recording day. Recommendation = instructor judgement.</w:t>
      </w:r>
    </w:p>
    <w:p>
      <w:pPr>
        <w:pStyle w:val="Heading1"/>
        <w:spacing w:after="120" w:before="280"/>
      </w:pPr>
      <w:r>
        <w:t xml:space="preserve">1. Technical corrections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26"/>
        <w:gridCol w:w="2000"/>
      </w:tblGrid>
      <w:tr>
        <w:trPr>
          <w:tblHeader/>
        </w:trPr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0A16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0A16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0A16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What RAG stands for</w:t>
            </w:r>
          </w:p>
        </w:tc>
        <w:tc>
          <w:tcPr>
            <w:tcW w:type="dxa" w:w="47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 means Retrieval: Retrieval-Augmented Generation. Do not say the R stands for "retriever".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General knowledge</w:t>
            </w:r>
          </w:p>
        </w:tc>
      </w:tr>
      <w:tr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Instructions vs web search</w:t>
            </w:r>
          </w:p>
        </w:tc>
        <w:tc>
          <w:tcPr>
            <w:tcW w:type="dxa" w:w="47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If the instructions say "answer only from my sources", keep open web search off and show the setting on camera.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Public website limits</w:t>
            </w:r>
          </w:p>
        </w:tc>
        <w:tc>
          <w:tcPr>
            <w:tcW w:type="dxa" w:w="47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Public-website sources rely on pages the search index has crawled, allow up to two URL levels, and do not support sites that need a login.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Verified external</w:t>
            </w:r>
          </w:p>
        </w:tc>
      </w:tr>
      <w:tr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Upload size limit</w:t>
            </w:r>
          </w:p>
        </w:tc>
        <w:tc>
          <w:tcPr>
            <w:tcW w:type="dxa" w:w="47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 not quote a file-size figure on camera.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Validate</w:t>
            </w:r>
          </w:p>
        </w:tc>
      </w:tr>
      <w:tr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Model names</w:t>
            </w:r>
          </w:p>
        </w:tc>
        <w:tc>
          <w:tcPr>
            <w:tcW w:type="dxa" w:w="47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Keep model names off slides; model lists change often.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Validate</w:t>
            </w:r>
          </w:p>
        </w:tc>
      </w:tr>
      <w:tr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How content is indexed</w:t>
            </w:r>
          </w:p>
        </w:tc>
        <w:tc>
          <w:tcPr>
            <w:tcW w:type="dxa" w:w="47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Say "conceptually, the platform prepares your content for search". Do not describe internal steps as fact.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Validate</w:t>
            </w:r>
          </w:p>
        </w:tc>
      </w:tr>
      <w:tr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Licence requirements</w:t>
            </w:r>
          </w:p>
        </w:tc>
        <w:tc>
          <w:tcPr>
            <w:tcW w:type="dxa" w:w="47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 current licence needs before telling viewers what they need.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Validate</w:t>
            </w:r>
          </w:p>
        </w:tc>
      </w:tr>
    </w:tbl>
    <w:p>
      <w:pPr>
        <w:pStyle w:val="Heading1"/>
        <w:spacing w:after="120" w:before="280"/>
      </w:pPr>
      <w:r>
        <w:t xml:space="preserve">2. Modernization opportunities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Re-check knowledge source types and feature names before each recording; the platform changes quickly.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whether the current Copilot Studio offers built-in agent testing or evaluation and, if so, show it in Episode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 Episode 2 on topics and triggers, built from your own scenario.</w:t>
      </w:r>
    </w:p>
    <w:p>
      <w:pPr>
        <w:pStyle w:val="Heading1"/>
        <w:spacing w:after="120" w:before="280"/>
      </w:pPr>
      <w:r>
        <w:t xml:space="preserve">3. Architecture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each source one job: the FAQ document for programme facts, the website for Copilot Studio how-to. State this in the instructions.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one fact in one place. Duplicate or conflicting statements across sources cause inconsistent answers.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the FAQ as short question-and-answer pairs with clear headings, in the words users actually 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you need control over chunking, embeddings, the vector store or evaluation, move to a coded RAG pipeline. This is a natural follow-up series.</w:t>
      </w:r>
    </w:p>
    <w:p>
      <w:pPr>
        <w:pStyle w:val="Heading1"/>
        <w:spacing w:after="120" w:before="280"/>
      </w:pPr>
      <w:r>
        <w:t xml:space="preserve">4. Security and privacy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only content suitable for everyone who can use the agent.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sample or public-safe documents in recordings. No learner names, emails or payment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Hide tenant names, user emails and admin screens. Never show secrets.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Treat retrieved text as untrusted. A document or page can contain instructions that try to steer the model, so use only sources you trust and keep the instructions firm.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Respect the licence and attribution terms of any website you use. Show the source on screen.</w:t>
      </w:r>
    </w:p>
    <w:p>
      <w:pPr>
        <w:pStyle w:val="Heading1"/>
        <w:spacing w:after="120" w:before="280"/>
      </w:pPr>
      <w:r>
        <w:t xml:space="preserve">5. Answer quality and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 for both sources to show Ready before testing; indexing can take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Re-run the same four test questions after every change to instructions or sources.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answers short (2 to 5 sentences) and require the source to be named.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 outdated or duplicate passages from documents rather than adding more content.</w:t>
      </w:r>
    </w:p>
    <w:p>
      <w:pPr>
        <w:pStyle w:val="Heading1"/>
        <w:spacing w:after="120" w:before="280"/>
      </w:pPr>
      <w:r>
        <w:t xml:space="preserve">6. Production readiness (beyond the demo)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 an owner for each source and set an update routine.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versions of the FAQ and the instructions, and record what changed.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test set of about 20 real questions, including refusals, and run it before each release.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a human fallback: tell users who to contact when the agent cannot answer.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questions the agent could not answer and use them to improve the sources.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 access rules and where the agent will be published before launch.</w:t>
      </w:r>
    </w:p>
    <w:p>
      <w:pPr>
        <w:pStyle w:val="Heading1"/>
        <w:spacing w:after="120" w:before="280"/>
      </w:pPr>
      <w:r>
        <w:t xml:space="preserve">7. Teaching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Label sample data on screen and say so in the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the source citation after every answer.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the runbook analogy once and reuse it in the failure-modes segment.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Cut waiting time (indexing, loading) in the edit and add short on-screen captions for key terms.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 with a one-line recap before the teaser for Episode 2.</w:t>
      </w:r>
    </w:p>
    <w:p>
      <w:pPr>
        <w:pStyle w:val="Heading1"/>
        <w:spacing w:after="120" w:before="280"/>
      </w:pPr>
      <w:r>
        <w:t xml:space="preserve">8. Suggested demo improvements (optional)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Turn open web search on and re-ask the cost question to show answers drifting outside your sources. Validate behaviour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deliberately conflicting line to a second document and show how the agent reacts. Validate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a messy FAQ with a clean question-and-answer FAQ on the same question.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platform offers analytics, show where unanswered questions appear.</w:t>
      </w:r>
    </w:p>
    <w:p>
      <w:pPr>
        <w:pStyle w:val="Heading1"/>
        <w:spacing w:after="120" w:before="280"/>
      </w:pPr>
      <w:r>
        <w:t xml:space="preserve">9. Common learner misunderstandings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0A16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Misunderstanding</w:t>
            </w:r>
          </w:p>
        </w:tc>
        <w:tc>
          <w:tcPr>
            <w:tcW w:type="dxa" w:w="58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0A16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Reality</w:t>
            </w:r>
          </w:p>
        </w:tc>
      </w:tr>
      <w:t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RAG retrains the model.</w:t>
            </w:r>
          </w:p>
        </w:tc>
        <w:tc>
          <w:tcPr>
            <w:tcW w:type="dxa" w:w="58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No. The model is unchanged; relevant content is added to the prompt at question time.</w:t>
            </w:r>
          </w:p>
        </w:tc>
      </w:tr>
      <w:t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More documents always means better answers.</w:t>
            </w:r>
          </w:p>
        </w:tc>
        <w:tc>
          <w:tcPr>
            <w:tcW w:type="dxa" w:w="58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 necessarily. Duplicate or conflicting content lowers answer quality.</w:t>
            </w:r>
          </w:p>
        </w:tc>
      </w:tr>
      <w:t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agent knows everything on the website.</w:t>
            </w:r>
          </w:p>
        </w:tc>
        <w:tc>
          <w:tcPr>
            <w:tcW w:type="dxa" w:w="58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Only pages that are available to its search and within the URL limits.</w:t>
            </w:r>
          </w:p>
        </w:tc>
      </w:tr>
      <w:t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citation proves the answer is correct.</w:t>
            </w:r>
          </w:p>
        </w:tc>
        <w:tc>
          <w:tcPr>
            <w:tcW w:type="dxa" w:w="58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It shows where the answer came from. Still check it against the source.</w:t>
            </w:r>
          </w:p>
        </w:tc>
      </w:tr>
      <w:tr>
        <w:tc>
          <w:tcPr>
            <w:tcW w:type="dxa" w:w="3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refusal means the agent is broken.</w:t>
            </w:r>
          </w:p>
        </w:tc>
        <w:tc>
          <w:tcPr>
            <w:tcW w:type="dxa" w:w="582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refusal when the answer is not in the sources is the intended, safe behaviour.</w:t>
            </w:r>
          </w:p>
        </w:tc>
      </w:tr>
    </w:tbl>
    <w:p>
      <w:pPr>
        <w:pStyle w:val="Heading1"/>
        <w:spacing w:after="120" w:before="280"/>
      </w:pPr>
      <w:r>
        <w:t xml:space="preserve">10. Open items before recording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knowledge sources show Ready; all four tests behave as expected.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labels, tab names and licence needs checked in your tenant.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Slide 5 and all slides reviewed in PowerPoint.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own links added to the description.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A16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Improvements and Technical Guide</dc:title>
  <dc:creator>Mayank Chugh</dc:creator>
  <cp:lastModifiedBy>Un-named</cp:lastModifiedBy>
  <cp:revision>1</cp:revision>
  <dcterms:created xsi:type="dcterms:W3CDTF">2026-10-08T02:37:05.792Z</dcterms:created>
  <dcterms:modified xsi:type="dcterms:W3CDTF">2026-10-08T02:37:05.798Z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