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5C56"/>
          <w:sz w:val="18"/>
          <w:szCs w:val="18"/>
        </w:rPr>
        <w:t xml:space="preserve">NEOBANK LITE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F2A33"/>
          <w:sz w:val="40"/>
          <w:szCs w:val="40"/>
        </w:rPr>
        <w:t xml:space="preserve">Requirements Document</w:t>
      </w:r>
    </w:p>
    <w:p>
      <w:pPr>
        <w:spacing w:after="200"/>
      </w:pPr>
      <w:r>
        <w:rPr>
          <w:i/>
          <w:iCs/>
          <w:color w:val="5A6672"/>
          <w:sz w:val="21"/>
          <w:szCs w:val="21"/>
        </w:rPr>
        <w:t xml:space="preserve">Digital banking platform — learning project scope</w:t>
      </w:r>
    </w:p>
    <w:p>
      <w:pPr>
        <w:spacing w:after="40"/>
      </w:pPr>
      <w:r>
        <w:rPr>
          <w:b/>
          <w:bCs/>
          <w:color w:val="5A6672"/>
          <w:sz w:val="19"/>
          <w:szCs w:val="19"/>
        </w:rPr>
        <w:t xml:space="preserve">Version:  </w:t>
      </w:r>
      <w:r>
        <w:rPr>
          <w:color w:val="1F2A33"/>
          <w:sz w:val="19"/>
          <w:szCs w:val="19"/>
        </w:rPr>
        <w:t xml:space="preserve">0.1 — Draft</w:t>
      </w:r>
    </w:p>
    <w:p>
      <w:pPr>
        <w:spacing w:after="40"/>
      </w:pPr>
      <w:r>
        <w:rPr>
          <w:b/>
          <w:bCs/>
          <w:color w:val="5A6672"/>
          <w:sz w:val="19"/>
          <w:szCs w:val="19"/>
        </w:rPr>
        <w:t xml:space="preserve">Date:  </w:t>
      </w:r>
      <w:r>
        <w:rPr>
          <w:color w:val="1F2A33"/>
          <w:sz w:val="19"/>
          <w:szCs w:val="19"/>
        </w:rPr>
        <w:t xml:space="preserve">12 August 2026</w:t>
      </w:r>
    </w:p>
    <w:p>
      <w:pPr>
        <w:spacing w:after="40"/>
      </w:pPr>
      <w:r>
        <w:rPr>
          <w:b/>
          <w:bCs/>
          <w:color w:val="5A6672"/>
          <w:sz w:val="19"/>
          <w:szCs w:val="19"/>
        </w:rPr>
        <w:t xml:space="preserve">Author:  </w:t>
      </w:r>
      <w:r>
        <w:rPr>
          <w:color w:val="1F2A33"/>
          <w:sz w:val="19"/>
          <w:szCs w:val="19"/>
        </w:rPr>
        <w:t xml:space="preserve">Mayank</w:t>
      </w:r>
    </w:p>
    <w:p>
      <w:pPr>
        <w:spacing w:after="40"/>
      </w:pPr>
      <w:r>
        <w:rPr>
          <w:b/>
          <w:bCs/>
          <w:color w:val="5A6672"/>
          <w:sz w:val="19"/>
          <w:szCs w:val="19"/>
        </w:rPr>
        <w:t xml:space="preserve">Status:  </w:t>
      </w:r>
      <w:r>
        <w:rPr>
          <w:color w:val="1F2A33"/>
          <w:sz w:val="19"/>
          <w:szCs w:val="19"/>
        </w:rPr>
        <w:t xml:space="preserve">In development</w:t>
      </w:r>
    </w:p>
    <w:p>
      <w:pPr>
        <w:pBdr>
          <w:bottom w:val="single" w:color="D9DED8" w:sz="6" w:space="4"/>
        </w:pBdr>
        <w:spacing w:after="200"/>
      </w:pPr>
    </w:p>
    <w:p>
      <w:pPr>
        <w:pStyle w:val="Heading1"/>
        <w:spacing w:after="140" w:before="320"/>
      </w:pPr>
      <w:r>
        <w:rPr>
          <w:b/>
          <w:bCs/>
          <w:color w:val="1F2A33"/>
          <w:sz w:val="26"/>
          <w:szCs w:val="26"/>
        </w:rPr>
        <w:t xml:space="preserve">1. Purpose</w:t>
      </w:r>
    </w:p>
    <w:p>
      <w:pPr>
        <w:spacing w:after="140"/>
      </w:pPr>
      <w:r>
        <w:rPr>
          <w:color w:val="1F2A33"/>
          <w:sz w:val="21"/>
          <w:szCs w:val="21"/>
        </w:rPr>
        <w:t xml:space="preserve">NeoBank Lite is a learning-focused digital banking platform used to practice building a realistic BFS microservices system: synchronous and asynchronous inter-service communication, database-per-service with Postgres, caching with Redis, and a React frontend behind a single API gateway. This document captures the functional and non-functional requirements for the current scope.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26"/>
          <w:szCs w:val="26"/>
        </w:rPr>
        <w:t xml:space="preserve">2. Scope</w:t>
      </w:r>
    </w:p>
    <w:p>
      <w:pPr>
        <w:spacing w:after="140"/>
      </w:pPr>
      <w:r>
        <w:rPr>
          <w:color w:val="1F2A33"/>
          <w:sz w:val="21"/>
          <w:szCs w:val="21"/>
        </w:rPr>
        <w:t xml:space="preserve">In scope for this phase: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A33"/>
          <w:sz w:val="21"/>
          <w:szCs w:val="21"/>
        </w:rPr>
        <w:t xml:space="preserve">Customer accounts: creation, lookup, balance retrieval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A33"/>
          <w:sz w:val="21"/>
          <w:szCs w:val="21"/>
        </w:rPr>
        <w:t xml:space="preserve">Account funding operations: credit and debit with optimistic-lock safety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A33"/>
          <w:sz w:val="21"/>
          <w:szCs w:val="21"/>
        </w:rPr>
        <w:t xml:space="preserve">KYC status tracking per customer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A33"/>
          <w:sz w:val="21"/>
          <w:szCs w:val="21"/>
        </w:rPr>
        <w:t xml:space="preserve">Fund transfers between accounts (Transaction Service, sync gRPC call into Account Service)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A33"/>
          <w:sz w:val="21"/>
          <w:szCs w:val="21"/>
        </w:rPr>
        <w:t xml:space="preserve">Loan applications and EMI calculation (Loan Service)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A33"/>
          <w:sz w:val="21"/>
          <w:szCs w:val="21"/>
        </w:rPr>
        <w:t xml:space="preserve">Event-driven notifications on transaction, loan, and KYC events (Kafka + Notification Service)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A33"/>
          <w:sz w:val="21"/>
          <w:szCs w:val="21"/>
        </w:rPr>
        <w:t xml:space="preserve">React frontend for viewing accounts, balances, KYC status, and moving money</w:t>
      </w:r>
    </w:p>
    <w:p>
      <w:pPr>
        <w:spacing w:after="140"/>
      </w:pPr>
    </w:p>
    <w:p>
      <w:pPr>
        <w:spacing w:after="140"/>
      </w:pPr>
      <w:r>
        <w:rPr>
          <w:color w:val="1F2A33"/>
          <w:sz w:val="21"/>
          <w:szCs w:val="21"/>
        </w:rPr>
        <w:t xml:space="preserve">Out of scope for this phase: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A33"/>
          <w:sz w:val="21"/>
          <w:szCs w:val="21"/>
        </w:rPr>
        <w:t xml:space="preserve">Authentication/authorization (no login flow yet — customer ID entered manually)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A33"/>
          <w:sz w:val="21"/>
          <w:szCs w:val="21"/>
        </w:rPr>
        <w:t xml:space="preserve">Real email/SMS delivery (Notification Service mocks sends)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A33"/>
          <w:sz w:val="21"/>
          <w:szCs w:val="21"/>
        </w:rPr>
        <w:t xml:space="preserve">Multi-currency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A33"/>
          <w:sz w:val="21"/>
          <w:szCs w:val="21"/>
        </w:rPr>
        <w:t xml:space="preserve">Production-grade observability (tracing/metrics are a stretch goal, not required)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26"/>
          <w:szCs w:val="26"/>
        </w:rPr>
        <w:t xml:space="preserve">3. Architecture Overview</w:t>
      </w:r>
    </w:p>
    <w:p>
      <w:pPr>
        <w:spacing w:after="140"/>
      </w:pPr>
      <w:r>
        <w:rPr>
          <w:color w:val="1F2A33"/>
          <w:sz w:val="21"/>
          <w:szCs w:val="21"/>
        </w:rPr>
        <w:t xml:space="preserve">React calls a single API gateway over REST, which routes to four microservices. Transaction Service and Loan Service call Account Service synchronously over gRPC when they need an immediate, consistent answer (e.g. debiting a balance before confirming a transfer). All three producer services publish domain events to Kafka asynchronously; Notification Service is the sole consumer. Each service owns its own Postgres schema; Redis is used for cache-aside reads on account balances and loan interest-rate reference data.</w:t>
      </w:r>
    </w:p>
    <w:p>
      <w:pPr>
        <w:spacing w:after="80" w:before="160"/>
        <w:jc w:val="center"/>
      </w:pPr>
      <w:r>
        <w:drawing>
          <wp:inline distT="0" distB="0" distL="0" distR="0">
            <wp:extent cx="4762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672"/>
          <w:sz w:val="18"/>
          <w:szCs w:val="18"/>
        </w:rPr>
        <w:t xml:space="preserve">Figure 1 — High-level system architecture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26"/>
          <w:szCs w:val="26"/>
        </w:rPr>
        <w:t xml:space="preserve">4. Functional Requirements</w:t>
      </w:r>
    </w:p>
    <w:p>
      <w:pPr>
        <w:pStyle w:val="Heading2"/>
        <w:spacing w:after="100" w:before="220"/>
      </w:pPr>
      <w:r>
        <w:rPr>
          <w:b/>
          <w:bCs/>
          <w:color w:val="1F2A33"/>
          <w:sz w:val="22"/>
          <w:szCs w:val="22"/>
        </w:rPr>
        <w:t xml:space="preserve">4.1 Account Service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3300"/>
      </w:tblGrid>
      <w:tr>
        <w:trPr>
          <w:tblHeader/>
        </w:trPr>
        <w:tc>
          <w:tcPr>
            <w:tcW w:type="dxa" w:w="14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3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FR-1.1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Create a customer record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POST /api/customers</w:t>
            </w:r>
          </w:p>
        </w:tc>
      </w:tr>
      <w:tr>
        <w:tc>
          <w:tcPr>
            <w:tcW w:type="dxa" w:w="14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FR-1.2</w:t>
            </w:r>
          </w:p>
        </w:tc>
        <w:tc>
          <w:tcPr>
            <w:tcW w:type="dxa" w:w="52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Retrieve an account by ID</w:t>
            </w:r>
          </w:p>
        </w:tc>
        <w:tc>
          <w:tcPr>
            <w:tcW w:type="dxa" w:w="33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GET /api/accounts/{accountId}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FR-1.3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Retrieve all accounts for a customer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GET /api/customers/{customerId}/accounts</w:t>
            </w:r>
          </w:p>
        </w:tc>
      </w:tr>
      <w:tr>
        <w:tc>
          <w:tcPr>
            <w:tcW w:type="dxa" w:w="14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FR-1.4</w:t>
            </w:r>
          </w:p>
        </w:tc>
        <w:tc>
          <w:tcPr>
            <w:tcW w:type="dxa" w:w="52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Retrieve current balance</w:t>
            </w:r>
          </w:p>
        </w:tc>
        <w:tc>
          <w:tcPr>
            <w:tcW w:type="dxa" w:w="33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GET /api/accounts/{accountId}/balance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FR-1.5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Debit an account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Optimistic lock via version column; rejects on insufficient funds or version conflict</w:t>
            </w:r>
          </w:p>
        </w:tc>
      </w:tr>
      <w:tr>
        <w:tc>
          <w:tcPr>
            <w:tcW w:type="dxa" w:w="14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FR-1.6</w:t>
            </w:r>
          </w:p>
        </w:tc>
        <w:tc>
          <w:tcPr>
            <w:tcW w:type="dxa" w:w="52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Credit an account</w:t>
            </w:r>
          </w:p>
        </w:tc>
        <w:tc>
          <w:tcPr>
            <w:tcW w:type="dxa" w:w="33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Optimistic lock via version column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FR-1.7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Retrieve KYC status for a customer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GET /api/customers/{customerId}/kyc — absence is a valid "not submitted" state, not an error</w:t>
            </w:r>
          </w:p>
        </w:tc>
      </w:tr>
      <w:tr>
        <w:tc>
          <w:tcPr>
            <w:tcW w:type="dxa" w:w="14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FR-1.8</w:t>
            </w:r>
          </w:p>
        </w:tc>
        <w:tc>
          <w:tcPr>
            <w:tcW w:type="dxa" w:w="52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Expose account standing over gRPC</w:t>
            </w:r>
          </w:p>
        </w:tc>
        <w:tc>
          <w:tcPr>
            <w:tcW w:type="dxa" w:w="33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Consumed by Loan Service before approval decisions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2A33"/>
          <w:sz w:val="22"/>
          <w:szCs w:val="22"/>
        </w:rPr>
        <w:t xml:space="preserve">4.2 Transaction Service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3300"/>
      </w:tblGrid>
      <w:tr>
        <w:trPr>
          <w:tblHeader/>
        </w:trPr>
        <w:tc>
          <w:tcPr>
            <w:tcW w:type="dxa" w:w="14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3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FR-2.1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Record a fund transfer between two accounts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Debits source via gRPC call to Account Service before marking COMPLETED</w:t>
            </w:r>
          </w:p>
        </w:tc>
      </w:tr>
      <w:tr>
        <w:tc>
          <w:tcPr>
            <w:tcW w:type="dxa" w:w="14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FR-2.2</w:t>
            </w:r>
          </w:p>
        </w:tc>
        <w:tc>
          <w:tcPr>
            <w:tcW w:type="dxa" w:w="52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Record a deposit or withdrawal</w:t>
            </w:r>
          </w:p>
        </w:tc>
        <w:tc>
          <w:tcPr>
            <w:tcW w:type="dxa" w:w="33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Single-sided ledger entry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FR-2.3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Guarantee idempotency on writes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Client-supplied idempotencyKey, unique constraint enforced</w:t>
            </w:r>
          </w:p>
        </w:tc>
      </w:tr>
      <w:tr>
        <w:tc>
          <w:tcPr>
            <w:tcW w:type="dxa" w:w="14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FR-2.4</w:t>
            </w:r>
          </w:p>
        </w:tc>
        <w:tc>
          <w:tcPr>
            <w:tcW w:type="dxa" w:w="52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Publish a TransactionCompleted/Failed event</w:t>
            </w:r>
          </w:p>
        </w:tc>
        <w:tc>
          <w:tcPr>
            <w:tcW w:type="dxa" w:w="33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Written to outbox table in the same DB transaction, published to Kafka by a separate poller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2A33"/>
          <w:sz w:val="22"/>
          <w:szCs w:val="22"/>
        </w:rPr>
        <w:t xml:space="preserve">4.3 Loan Service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3300"/>
      </w:tblGrid>
      <w:tr>
        <w:trPr>
          <w:tblHeader/>
        </w:trPr>
        <w:tc>
          <w:tcPr>
            <w:tcW w:type="dxa" w:w="14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3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FR-3.1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Accept a loan application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Validates account standing via gRPC call to Account Service</w:t>
            </w:r>
          </w:p>
        </w:tc>
      </w:tr>
      <w:tr>
        <w:tc>
          <w:tcPr>
            <w:tcW w:type="dxa" w:w="14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FR-3.2</w:t>
            </w:r>
          </w:p>
        </w:tc>
        <w:tc>
          <w:tcPr>
            <w:tcW w:type="dxa" w:w="52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Calculate EMI from principal, tenure, and rate</w:t>
            </w:r>
          </w:p>
        </w:tc>
        <w:tc>
          <w:tcPr>
            <w:tcW w:type="dxa" w:w="33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Interest rate slabs cached in Redis, ~1hr TTL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FR-3.3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Approve or reject an application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Publishes LoanApproved/LoanRejected to Kafka</w:t>
            </w:r>
          </w:p>
        </w:tc>
      </w:tr>
      <w:tr>
        <w:tc>
          <w:tcPr>
            <w:tcW w:type="dxa" w:w="14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FR-3.4</w:t>
            </w:r>
          </w:p>
        </w:tc>
        <w:tc>
          <w:tcPr>
            <w:tcW w:type="dxa" w:w="52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Generate an EMI repayment schedule on approval</w:t>
            </w:r>
          </w:p>
        </w:tc>
        <w:tc>
          <w:tcPr>
            <w:tcW w:type="dxa" w:w="33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One row per installment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2A33"/>
          <w:sz w:val="22"/>
          <w:szCs w:val="22"/>
        </w:rPr>
        <w:t xml:space="preserve">4.4 Notification Service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3300"/>
      </w:tblGrid>
      <w:tr>
        <w:trPr>
          <w:tblHeader/>
        </w:trPr>
        <w:tc>
          <w:tcPr>
            <w:tcW w:type="dxa" w:w="14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3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FR-4.1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Consume transaction, loan, and KYC events from Kafka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Three topics, one consumer group</w:t>
            </w:r>
          </w:p>
        </w:tc>
      </w:tr>
      <w:tr>
        <w:tc>
          <w:tcPr>
            <w:tcW w:type="dxa" w:w="14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FR-4.2</w:t>
            </w:r>
          </w:p>
        </w:tc>
        <w:tc>
          <w:tcPr>
            <w:tcW w:type="dxa" w:w="52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Record a notification per event</w:t>
            </w:r>
          </w:p>
        </w:tc>
        <w:tc>
          <w:tcPr>
            <w:tcW w:type="dxa" w:w="33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Deduplicated on (source_event_id, channel) — Kafka delivery is at-least-once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FR-4.3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Expose recent notifications for a customer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Powers the React toast/bell UI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2A33"/>
          <w:sz w:val="22"/>
          <w:szCs w:val="22"/>
        </w:rPr>
        <w:t xml:space="preserve">4.5 Frontend (React)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3300"/>
      </w:tblGrid>
      <w:tr>
        <w:trPr>
          <w:tblHeader/>
        </w:trPr>
        <w:tc>
          <w:tcPr>
            <w:tcW w:type="dxa" w:w="14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3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FR-5.1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Look up a customer's accounts by customer ID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No auth yet — manual ID entry</w:t>
            </w:r>
          </w:p>
        </w:tc>
      </w:tr>
      <w:tr>
        <w:tc>
          <w:tcPr>
            <w:tcW w:type="dxa" w:w="14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FR-5.2</w:t>
            </w:r>
          </w:p>
        </w:tc>
        <w:tc>
          <w:tcPr>
            <w:tcW w:type="dxa" w:w="52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Display account balance, status, and KYC status</w:t>
            </w:r>
          </w:p>
        </w:tc>
        <w:tc>
          <w:tcPr>
            <w:tcW w:type="dxa" w:w="33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Balance polled fresh on account selection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FR-5.3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Submit a credit or debit against the selected account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Inline validation and error display; balance updates from the API response, no refetch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2A33"/>
          <w:sz w:val="26"/>
          <w:szCs w:val="26"/>
        </w:rPr>
        <w:t xml:space="preserve">5. Non-Functional Requirements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3300"/>
      </w:tblGrid>
      <w:tr>
        <w:trPr>
          <w:tblHeader/>
        </w:trPr>
        <w:tc>
          <w:tcPr>
            <w:tcW w:type="dxa" w:w="14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3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NFR-1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Debit/credit operations must be safe under concurrent requests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Optimistic locking via a version column; conflicting writes are rejected, not silently lost</w:t>
            </w:r>
          </w:p>
        </w:tc>
      </w:tr>
      <w:tr>
        <w:tc>
          <w:tcPr>
            <w:tcW w:type="dxa" w:w="14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NFR-2</w:t>
            </w:r>
          </w:p>
        </w:tc>
        <w:tc>
          <w:tcPr>
            <w:tcW w:type="dxa" w:w="52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Notification delivery is eventually consistent</w:t>
            </w:r>
          </w:p>
        </w:tc>
        <w:tc>
          <w:tcPr>
            <w:tcW w:type="dxa" w:w="33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Async via Kafka — acceptable latency is seconds, not milliseconds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NFR-3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Each service owns its own schema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No cross-service joins; services only reach other services' data via their API or gRPC contract</w:t>
            </w:r>
          </w:p>
        </w:tc>
      </w:tr>
      <w:tr>
        <w:tc>
          <w:tcPr>
            <w:tcW w:type="dxa" w:w="14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NFR-4</w:t>
            </w:r>
          </w:p>
        </w:tc>
        <w:tc>
          <w:tcPr>
            <w:tcW w:type="dxa" w:w="52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Balance reads are cached with a short TTL</w:t>
            </w:r>
          </w:p>
        </w:tc>
        <w:tc>
          <w:tcPr>
            <w:tcW w:type="dxa" w:w="33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30s cache-aside on Redis; write paths always read Postgres directly, never the cache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NFR-5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All write endpoints return actionable error reasons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e.g. distinguishing insufficient funds from a concurrency conflict, not a generic failure</w:t>
            </w:r>
          </w:p>
        </w:tc>
      </w:tr>
      <w:tr>
        <w:tc>
          <w:tcPr>
            <w:tcW w:type="dxa" w:w="14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NFR-6</w:t>
            </w:r>
          </w:p>
        </w:tc>
        <w:tc>
          <w:tcPr>
            <w:tcW w:type="dxa" w:w="52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Local environment must run fully via Docker Compose</w:t>
            </w:r>
          </w:p>
        </w:tc>
        <w:tc>
          <w:tcPr>
            <w:tcW w:type="dxa" w:w="3300"/>
            <w:shd w:fill="F6F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Postgres, Redis, Kafka, all services, and the frontend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2A33"/>
          <w:sz w:val="26"/>
          <w:szCs w:val="26"/>
        </w:rPr>
        <w:t xml:space="preserve">6. Open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A33"/>
          <w:sz w:val="21"/>
          <w:szCs w:val="21"/>
        </w:rPr>
        <w:t xml:space="preserve">Authentication/session handling — not yet designed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A33"/>
          <w:sz w:val="21"/>
          <w:szCs w:val="21"/>
        </w:rPr>
        <w:t xml:space="preserve">Outbox-to-Kafka poller — table exists, publishing worker not yet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A33"/>
          <w:sz w:val="21"/>
          <w:szCs w:val="21"/>
        </w:rPr>
        <w:t xml:space="preserve">Redis cache-aside on GetBalance — currently bypassed in the Account Service controller, needs to be re-enabled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A33"/>
          <w:sz w:val="21"/>
          <w:szCs w:val="21"/>
        </w:rPr>
        <w:t xml:space="preserve">Distributed tracing (OpenTelemetry + Jaeger) — stretch goal, not committed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26"/>
          <w:szCs w:val="26"/>
        </w:rPr>
        <w:t xml:space="preserve">7. Revision History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6100"/>
      </w:tblGrid>
      <w:tr>
        <w:trPr>
          <w:tblHeader/>
        </w:trPr>
        <w:tc>
          <w:tcPr>
            <w:tcW w:type="dxa" w:w="16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100"/>
            <w:shd w:fill="1F2A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0.1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12 Aug 2026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2A33"/>
                <w:sz w:val="18"/>
                <w:szCs w:val="18"/>
              </w:rPr>
              <w:t xml:space="preserve">Initial draft covering Account, Transaction, Loan, and Notification services plus React frontend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08fdb525ed75e20d11c2e592dcc8a0938487f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2026-08-12T04:49:42.106Z</dcterms:created>
  <dcterms:modified xsi:type="dcterms:W3CDTF">2026-08-12T04:49:42.142Z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