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F7A"/>
          <w:sz w:val="56"/>
        </w:rPr>
        <w:t>Loan Payment Data Analysis</w:t>
      </w:r>
    </w:p>
    <w:p>
      <w:pPr>
        <w:jc w:val="center"/>
      </w:pPr>
      <w:r>
        <w:rPr>
          <w:color w:val="555555"/>
          <w:sz w:val="32"/>
        </w:rPr>
        <w:t>College Data Analytics Project Report</w:t>
      </w:r>
    </w:p>
    <w:p/>
    <w:p>
      <w:pPr>
        <w:jc w:val="center"/>
      </w:pPr>
      <w:r>
        <w:t>Dataset: Loan payments data.csv  |  Records: 500  |  Features: 11</w:t>
        <w:br/>
        <w:t>Tools: Python · Pandas · NumPy · Matplotlib · Seaborn · SciPy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A5F7A"/>
        </w:rPr>
        <w:t>1. Executive Summary</w:t>
      </w:r>
    </w:p>
    <w:p>
      <w:pPr>
        <w:spacing w:after="80"/>
      </w:pPr>
      <w:r>
        <w:rPr>
          <w:b w:val="0"/>
          <w:sz w:val="22"/>
        </w:rPr>
        <w:t>This report presents a comprehensive data analytics study of a loan payments dataset comprising 500 loan records. The analysis covers data cleaning, exploratory data analysis, statistical hypothesis testing, and actionable business insights. Key findings include a 60% full repayment rate, higher repayment discipline among female borrowers, and a mean overdue period of 36 days for delinquent loans.</w:t>
      </w:r>
    </w:p>
    <w:p>
      <w:pPr>
        <w:pStyle w:val="Heading1"/>
        <w:spacing w:before="240" w:after="80"/>
      </w:pPr>
      <w:r>
        <w:rPr>
          <w:color w:val="1A5F7A"/>
        </w:rPr>
        <w:t>2. Dataset Overview</w:t>
      </w:r>
    </w:p>
    <w:p>
      <w:pPr>
        <w:spacing w:after="80"/>
      </w:pPr>
      <w:r>
        <w:rPr>
          <w:b w:val="0"/>
          <w:sz w:val="22"/>
        </w:rPr>
        <w:t>The dataset contains 11 columns: Loan_ID, loan_status, Principal, terms, effective_date, due_date, paid_off_time, past_due_days, age, education, and Gender. There are three loan statuses: PAIDOFF (300), COLLECTION (100), and COLLECTION_PAIDOFF (100). No duplicate records were found.</w:t>
      </w:r>
    </w:p>
    <w:p>
      <w:pPr>
        <w:pStyle w:val="Heading2"/>
        <w:spacing w:before="240" w:after="80"/>
      </w:pPr>
      <w:r>
        <w:t>2.1 Missing Value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Missing Count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Missing %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paid_off_time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20.0%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past_due_days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60.0%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days_to_payoff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20.0%</w:t>
            </w:r>
          </w:p>
        </w:tc>
      </w:tr>
    </w:tbl>
    <w:p/>
    <w:p>
      <w:pPr>
        <w:pStyle w:val="Heading1"/>
        <w:spacing w:before="240" w:after="80"/>
      </w:pPr>
      <w:r>
        <w:rPr>
          <w:color w:val="1A5F7A"/>
        </w:rPr>
        <w:t>3. Exploratory Data Analysis</w:t>
      </w:r>
    </w:p>
    <w:p>
      <w:pPr>
        <w:spacing w:after="80"/>
      </w:pPr>
      <w:r>
        <w:rPr>
          <w:b w:val="0"/>
          <w:sz w:val="22"/>
        </w:rPr>
        <w:t>Key distributional characteristics of the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Mean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$943.20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Std Dev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$115.24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Age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Mean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31.1 years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Age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Min / Max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18 / 51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Terms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Most common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30 days (54.4%)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Loan Status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PAIDOFF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300 (60.0%)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Loan Status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COLLECTION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100 (20.0%)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Loan Status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COLLECTION_PAIDOFF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100 (20.0%)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Gender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Male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423 (84.6%)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Gender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Female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77 (15.4%)</w:t>
            </w:r>
          </w:p>
        </w:tc>
      </w:tr>
    </w:tbl>
    <w:p/>
    <w:p>
      <w:pPr>
        <w:pStyle w:val="Heading1"/>
        <w:spacing w:before="240" w:after="80"/>
      </w:pPr>
      <w:r>
        <w:rPr>
          <w:color w:val="1A5F7A"/>
        </w:rPr>
        <w:t>4. Statistical Analysis</w:t>
      </w:r>
    </w:p>
    <w:p>
      <w:pPr>
        <w:spacing w:after="80"/>
      </w:pPr>
      <w:r>
        <w:rPr>
          <w:b/>
          <w:sz w:val="22"/>
        </w:rPr>
        <w:t>Welch's T-test — Principal: PAIDOFF vs COLLECTION</w:t>
      </w:r>
    </w:p>
    <w:p>
      <w:pPr>
        <w:spacing w:after="80"/>
      </w:pPr>
      <w:r>
        <w:rPr>
          <w:b w:val="0"/>
          <w:sz w:val="22"/>
        </w:rPr>
        <w:t>t-statistic = -1.6809,  p-value = 0.0940</w:t>
        <w:br/>
        <w:t>Interpretation: No statistically significant difference in Principal amount between PAIDOFF and COLLECTION groups at the 5% significance level.</w:t>
      </w:r>
    </w:p>
    <w:p>
      <w:pPr>
        <w:spacing w:after="80"/>
      </w:pPr>
      <w:r>
        <w:rPr>
          <w:b/>
          <w:sz w:val="22"/>
        </w:rPr>
        <w:t>Chi-square Test — Gender vs Loan Status</w:t>
      </w:r>
    </w:p>
    <w:p>
      <w:pPr>
        <w:spacing w:after="80"/>
      </w:pPr>
      <w:r>
        <w:rPr>
          <w:b w:val="0"/>
          <w:sz w:val="22"/>
        </w:rPr>
        <w:t>chi2 = 3.5717,  p-value = 0.1677,  dof = 2</w:t>
        <w:br/>
        <w:t>Interpretation: Gender is NOT significantly associated with loan status.</w:t>
      </w:r>
    </w:p>
    <w:p>
      <w:pPr>
        <w:pStyle w:val="Heading1"/>
        <w:spacing w:before="240" w:after="80"/>
      </w:pPr>
      <w:r>
        <w:rPr>
          <w:color w:val="1A5F7A"/>
        </w:rPr>
        <w:t>5. Visualisations &amp; Findings</w:t>
      </w:r>
    </w:p>
    <w:p>
      <w:pPr>
        <w:pStyle w:val="Heading2"/>
        <w:spacing w:before="240" w:after="80"/>
      </w:pPr>
      <w:r>
        <w:t>5.1 Loan Status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2286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loan_statu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Loan Status Distribution: Bar chart and pie chart showing the count and proportion of each loan status.</w:t>
      </w:r>
    </w:p>
    <w:p/>
    <w:p>
      <w:pPr>
        <w:pStyle w:val="Heading2"/>
        <w:spacing w:before="240" w:after="80"/>
      </w:pPr>
      <w:r>
        <w:t>5.2 Principal Analysis</w:t>
      </w:r>
    </w:p>
    <w:p>
      <w:r>
        <w:drawing>
          <wp:inline xmlns:a="http://schemas.openxmlformats.org/drawingml/2006/main" xmlns:pic="http://schemas.openxmlformats.org/drawingml/2006/picture">
            <wp:extent cx="5029200" cy="2302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rincipal_by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– Principal Amount by Loan Status: Histogram and box plot of principal for each status.</w:t>
      </w:r>
    </w:p>
    <w:p/>
    <w:p>
      <w:pPr>
        <w:pStyle w:val="Heading2"/>
        <w:spacing w:before="240" w:after="80"/>
      </w:pPr>
      <w:r>
        <w:t>5.3 Gender Analysis</w:t>
      </w:r>
    </w:p>
    <w:p>
      <w:r>
        <w:drawing>
          <wp:inline xmlns:a="http://schemas.openxmlformats.org/drawingml/2006/main" xmlns:pic="http://schemas.openxmlformats.org/drawingml/2006/picture">
            <wp:extent cx="5029200" cy="1922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ender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– Gender Analysis: Distribution, loan status breakdown, and average principal by gender.</w:t>
      </w:r>
    </w:p>
    <w:p/>
    <w:p>
      <w:pPr>
        <w:pStyle w:val="Heading2"/>
        <w:spacing w:before="240" w:after="80"/>
      </w:pPr>
      <w:r>
        <w:t>5.4 Education Analysis</w:t>
      </w:r>
    </w:p>
    <w:p>
      <w:r>
        <w:drawing>
          <wp:inline xmlns:a="http://schemas.openxmlformats.org/drawingml/2006/main" xmlns:pic="http://schemas.openxmlformats.org/drawingml/2006/picture">
            <wp:extent cx="5029200" cy="2249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educatio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– Education Analysis: Distribution of education levels and loan status breakdown.</w:t>
      </w:r>
    </w:p>
    <w:p/>
    <w:p>
      <w:pPr>
        <w:pStyle w:val="Heading2"/>
        <w:spacing w:before="240" w:after="80"/>
      </w:pPr>
      <w:r>
        <w:t>5.5 Age Analysis</w:t>
      </w:r>
    </w:p>
    <w:p>
      <w:r>
        <w:drawing>
          <wp:inline xmlns:a="http://schemas.openxmlformats.org/drawingml/2006/main" xmlns:pic="http://schemas.openxmlformats.org/drawingml/2006/picture">
            <wp:extent cx="5029200" cy="1889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age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– Age Analysis: Age distribution, loan status by age group, and box plot.</w:t>
      </w:r>
    </w:p>
    <w:p/>
    <w:p>
      <w:pPr>
        <w:pStyle w:val="Heading2"/>
        <w:spacing w:before="240" w:after="80"/>
      </w:pPr>
      <w:r>
        <w:t>5.6 Loan Term Analysis</w:t>
      </w:r>
    </w:p>
    <w:p>
      <w:r>
        <w:drawing>
          <wp:inline xmlns:a="http://schemas.openxmlformats.org/drawingml/2006/main" xmlns:pic="http://schemas.openxmlformats.org/drawingml/2006/picture">
            <wp:extent cx="5029200" cy="2332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erm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– Loan Term Analysis: Count and stacked percentage of loan status per term.</w:t>
      </w:r>
    </w:p>
    <w:p/>
    <w:p>
      <w:pPr>
        <w:pStyle w:val="Heading2"/>
        <w:spacing w:before="240" w:after="80"/>
      </w:pPr>
      <w:r>
        <w:t>5.7 Correlation Analysis</w:t>
      </w:r>
    </w:p>
    <w:p>
      <w:r>
        <w:drawing>
          <wp:inline xmlns:a="http://schemas.openxmlformats.org/drawingml/2006/main" xmlns:pic="http://schemas.openxmlformats.org/drawingml/2006/picture">
            <wp:extent cx="5029200" cy="42364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6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– Correlation Heatmap: Pearson correlations between encoded numeric variables.</w:t>
      </w:r>
    </w:p>
    <w:p/>
    <w:p>
      <w:pPr>
        <w:pStyle w:val="Heading2"/>
        <w:spacing w:before="240" w:after="80"/>
      </w:pPr>
      <w:r>
        <w:t>5.8 Days to Payoff</w:t>
      </w:r>
    </w:p>
    <w:p>
      <w:r>
        <w:drawing>
          <wp:inline xmlns:a="http://schemas.openxmlformats.org/drawingml/2006/main" xmlns:pic="http://schemas.openxmlformats.org/drawingml/2006/picture">
            <wp:extent cx="5029200" cy="2332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days_to_pay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– Days to Payoff: Distribution and scatter plot of days to payoff vs principal.</w:t>
      </w:r>
    </w:p>
    <w:p/>
    <w:p>
      <w:pPr>
        <w:pStyle w:val="Heading2"/>
        <w:spacing w:before="240" w:after="80"/>
      </w:pPr>
      <w:r>
        <w:t>5.9 Past Due Days</w:t>
      </w:r>
    </w:p>
    <w:p>
      <w:r>
        <w:drawing>
          <wp:inline xmlns:a="http://schemas.openxmlformats.org/drawingml/2006/main" xmlns:pic="http://schemas.openxmlformats.org/drawingml/2006/picture">
            <wp:extent cx="5029200" cy="23536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9_past_due_day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– Past Due Days: Distribution and box plot of overdue days for collection loans.</w:t>
      </w:r>
    </w:p>
    <w:p/>
    <w:p>
      <w:pPr>
        <w:pStyle w:val="Heading2"/>
        <w:spacing w:before="240" w:after="80"/>
      </w:pPr>
      <w:r>
        <w:t>5.10 Principal by Education &amp; Gender</w:t>
      </w:r>
    </w:p>
    <w:p>
      <w:r>
        <w:drawing>
          <wp:inline xmlns:a="http://schemas.openxmlformats.org/drawingml/2006/main" xmlns:pic="http://schemas.openxmlformats.org/drawingml/2006/picture">
            <wp:extent cx="5029200" cy="29556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principal_edu_gende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– Avg Principal by Education &amp; Gender: Heatmap of average principal amounts.</w:t>
      </w:r>
    </w:p>
    <w:p/>
    <w:p>
      <w:pPr>
        <w:pStyle w:val="Heading1"/>
        <w:spacing w:before="240" w:after="80"/>
      </w:pPr>
      <w:r>
        <w:rPr>
          <w:color w:val="1A5F7A"/>
        </w:rPr>
        <w:t>6. Business 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1A5F7A"/>
          </w:tcPr>
          <w:p>
            <w:r>
              <w:rPr>
                <w:b/>
                <w:sz w:val="20"/>
              </w:rPr>
              <w:t>Insight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Overall Repayment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60% of loans are fully PAIDOFF — indicating a relatively healthy loan portfolio.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Gender Repayment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Female borrowers show a higher PAIDOFF rate (68.8%) compared to males (58.4%), representing lower credit risk.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Age Segment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The 26–35 age group is the largest borrower segment and shows reasonable repayment rates.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Popular Product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$1,000 / 30-day loans constitute the dominant product. 75.4% of all loans are for $1,000.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Overdue Severity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The average overdue period for delinquent loans is 36 days; the maximum is 76 days, representing significant collection risk.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Education Risk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Master or Above (25%) and High School or Below (23.4%) show the highest collection rates.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Statistical Tests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Neither principal amount nor gender significantly predicts loan status (p &gt; 0.05 in both tests).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Short-term Loans</w:t>
            </w:r>
          </w:p>
        </w:tc>
        <w:tc>
          <w:tcPr>
            <w:tcW w:type="dxa" w:w="3120"/>
          </w:tcPr>
          <w:p>
            <w:r>
              <w:rPr>
                <w:b w:val="0"/>
                <w:sz w:val="20"/>
              </w:rPr>
              <w:t>7-day term loans have the lowest volume (4.2%) but may represent an untapped niche.</w:t>
            </w:r>
          </w:p>
        </w:tc>
      </w:tr>
    </w:tbl>
    <w:p/>
    <w:p>
      <w:pPr>
        <w:pStyle w:val="Heading1"/>
        <w:spacing w:before="240" w:after="80"/>
      </w:pPr>
      <w:r>
        <w:rPr>
          <w:color w:val="1A5F7A"/>
        </w:rPr>
        <w:t>7. Recommendations</w:t>
      </w:r>
    </w:p>
    <w:p>
      <w:pPr>
        <w:pStyle w:val="ListNumber"/>
      </w:pPr>
      <w:r>
        <w:t>Implement an automated early-intervention reminder system triggered at Day 1–3 past due, as most COLLECTION_PAIDOFF loans were recovered within 1–7 days.</w:t>
      </w:r>
    </w:p>
    <w:p>
      <w:pPr>
        <w:pStyle w:val="ListNumber"/>
      </w:pPr>
      <w:r>
        <w:t>Apply stricter initial credit limits for first-time High-School-level borrowers given their elevated 23.4% collection rate.</w:t>
      </w:r>
    </w:p>
    <w:p>
      <w:pPr>
        <w:pStyle w:val="ListNumber"/>
      </w:pPr>
      <w:r>
        <w:t>Consider preferential or loyalty rates for female borrowers aged 26–35, who demonstrate the highest repayment discipline.</w:t>
      </w:r>
    </w:p>
    <w:p>
      <w:pPr>
        <w:pStyle w:val="ListNumber"/>
      </w:pPr>
      <w:r>
        <w:t>Investigate borrowers with 50+ past-due days individually — they represent outlier credit risk requiring case-by-case management.</w:t>
      </w:r>
    </w:p>
    <w:p>
      <w:pPr>
        <w:pStyle w:val="ListNumber"/>
      </w:pPr>
      <w:r>
        <w:t>Expand the 7-day micro-loan product to capture demand for very short-term credit.</w:t>
      </w:r>
    </w:p>
    <w:p>
      <w:pPr>
        <w:pStyle w:val="ListNumber"/>
      </w:pPr>
      <w:r>
        <w:t>Conduct follow-up data collection on loan purpose to improve default risk modelling.</w:t>
      </w:r>
    </w:p>
    <w:p>
      <w:pPr>
        <w:pStyle w:val="Heading1"/>
        <w:spacing w:before="240" w:after="80"/>
      </w:pPr>
      <w:r>
        <w:rPr>
          <w:color w:val="1A5F7A"/>
        </w:rPr>
        <w:t>8. Conclusion</w:t>
      </w:r>
    </w:p>
    <w:p>
      <w:pPr>
        <w:spacing w:after="80"/>
      </w:pPr>
      <w:r>
        <w:rPr>
          <w:b w:val="0"/>
          <w:sz w:val="22"/>
        </w:rPr>
        <w:t>This analysis of 500 loan records demonstrates a well-functioning short-term lending portfolio with a 60% full repayment rate. Statistical tests confirm that principal amount and gender are not significant predictors of default in isolation, suggesting that multi-variable credit scoring models may yield better predictive accuracy. The findings provide a data-driven foundation for portfolio risk management, targeted marketing, and product development decisions.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