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sz w:val="34"/>
        </w:rPr>
        <w:t>Foreman: An Edge Vision-Language Framework for Explainable, Human-in-the-Loop PCB Defect Inspection with Active Recalibration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1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Mayank Tadepalli</w:t>
              <w:br/>
            </w:r>
            <w:r>
              <w:rPr>
                <w:rFonts w:ascii="Times New Roman" w:hAnsi="Times New Roman"/>
                <w:sz w:val="17"/>
              </w:rPr>
              <w:t>School of Engineering</w:t>
              <w:br/>
              <w:t>University of Wollongong in Dubai</w:t>
              <w:br/>
              <w:t>Dubai, United Arab Emirates</w:t>
              <w:br/>
              <w:t>mt411@uowmail.edu.au</w:t>
            </w:r>
          </w:p>
        </w:tc>
        <w:tc>
          <w:tcPr>
            <w:tcW w:type="dxa" w:w="3456"/>
          </w:tcPr>
          <w:p>
            <w:pPr>
              <w:spacing w:after="1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Joshua Koshy</w:t>
              <w:br/>
            </w:r>
            <w:r>
              <w:rPr>
                <w:rFonts w:ascii="Times New Roman" w:hAnsi="Times New Roman"/>
                <w:sz w:val="17"/>
              </w:rPr>
              <w:t>School of Engineering</w:t>
              <w:br/>
              <w:t>University of Wollongong in Dubai</w:t>
              <w:br/>
              <w:t>Dubai, United Arab Emirates</w:t>
              <w:br/>
              <w:t>jjk319@uowmail.edu.au</w:t>
            </w:r>
          </w:p>
        </w:tc>
        <w:tc>
          <w:tcPr>
            <w:tcW w:type="dxa" w:w="3456"/>
          </w:tcPr>
          <w:p>
            <w:pPr>
              <w:spacing w:after="1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Safwaan Syed</w:t>
              <w:br/>
            </w:r>
            <w:r>
              <w:rPr>
                <w:rFonts w:ascii="Times New Roman" w:hAnsi="Times New Roman"/>
                <w:sz w:val="17"/>
              </w:rPr>
              <w:t>School of Engineering</w:t>
              <w:br/>
              <w:t>University of Wollongong in Dubai</w:t>
              <w:br/>
              <w:t>Dubai, United Arab Emirates</w:t>
              <w:br/>
              <w:t>sh651@uowmail.edu.au</w:t>
            </w:r>
          </w:p>
        </w:tc>
      </w:tr>
      <w:tr>
        <w:tc>
          <w:tcPr>
            <w:tcW w:type="dxa" w:w="3456"/>
          </w:tcPr>
          <w:p>
            <w:pPr>
              <w:spacing w:after="1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Muhammad Nazir Mapkar</w:t>
              <w:br/>
            </w:r>
            <w:r>
              <w:rPr>
                <w:rFonts w:ascii="Times New Roman" w:hAnsi="Times New Roman"/>
                <w:sz w:val="17"/>
              </w:rPr>
              <w:t>School of Engineering</w:t>
              <w:br/>
              <w:t>University of Wollongong in Dubai</w:t>
              <w:br/>
              <w:t>Dubai, United Arab Emirates</w:t>
              <w:br/>
              <w:t>mnam815@uowmail.edu.au</w:t>
            </w:r>
          </w:p>
        </w:tc>
        <w:tc>
          <w:tcPr>
            <w:tcW w:type="dxa" w:w="3456"/>
          </w:tcPr>
          <w:p>
            <w:pPr>
              <w:spacing w:after="1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Dr. Mervat Madi</w:t>
              <w:br/>
            </w:r>
            <w:r>
              <w:rPr>
                <w:rFonts w:ascii="Times New Roman" w:hAnsi="Times New Roman"/>
                <w:sz w:val="17"/>
              </w:rPr>
              <w:t>School of Engineering</w:t>
              <w:br/>
              <w:t>University of Wollongong in Dubai</w:t>
              <w:br/>
              <w:t>Dubai, United Arab Emirates</w:t>
              <w:br/>
              <w:t>mervatmadi@uowdubai.ac.ae</w:t>
            </w:r>
          </w:p>
        </w:tc>
        <w:tc>
          <w:tcPr>
            <w:tcW w:type="dxa" w:w="3456"/>
          </w:tcPr>
          <w:p>
            <w:pPr>
              <w:spacing w:after="1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Dr. Mohd Fareq Abd Malek</w:t>
              <w:br/>
            </w:r>
            <w:r>
              <w:rPr>
                <w:rFonts w:ascii="Times New Roman" w:hAnsi="Times New Roman"/>
                <w:sz w:val="17"/>
              </w:rPr>
              <w:t>School of Engineering</w:t>
              <w:br/>
              <w:t>University of Wollongong in Dubai</w:t>
              <w:br/>
              <w:t>Dubai, United Arab Emirates</w:t>
              <w:br/>
              <w:t>MohamedFareqMalek@uowdubai.ac.ae</w:t>
            </w:r>
          </w:p>
        </w:tc>
      </w:tr>
    </w:tbl>
    <w:p>
      <w:pPr>
        <w:sectPr>
          <w:pgSz w:w="12240" w:h="15840"/>
          <w:pgMar w:top="1080" w:right="936" w:bottom="1080" w:left="936" w:header="720" w:footer="720" w:gutter="0"/>
          <w:cols w:space="720"/>
          <w:docGrid w:linePitch="360"/>
        </w:sectPr>
      </w:pPr>
    </w:p>
    <w:p>
      <w:pPr>
        <w:spacing w:before="40" w:after="60" w:line="250" w:lineRule="auto"/>
        <w:jc w:val="both"/>
      </w:pPr>
      <w:r>
        <w:rPr>
          <w:rFonts w:ascii="Times New Roman" w:hAnsi="Times New Roman"/>
          <w:b/>
          <w:sz w:val="18"/>
        </w:rPr>
        <w:t xml:space="preserve">Abstract— </w:t>
      </w:r>
      <w:r>
        <w:rPr>
          <w:rFonts w:ascii="Times New Roman" w:hAnsi="Times New Roman"/>
          <w:sz w:val="18"/>
        </w:rPr>
        <w:t>Automated Optical Inspection (AOI) in high-throughput electronics manufacturing faces severe reliability challenges when deploying deep neural models on edge hardware. While Vision-Language Models (VLMs) enable rich, zero-shot anomaly diagnosis and natural language explanations, their uncalibrated confidence probabilities, vulnerability to hallucinated rationales, and inability to dynamically adapt to post-deployment drift hinder autonomous line integration. This paper introduces Foreman, an edge-native vision-language inspection framework designed for explainable, human-in-the-loop (HITL) quality control under IPC-A-610 standards. Foreman integrates three synergistic innovations: (1) a Tri-Factor Review-Priority Index (RPI) that synthesizes calibrated predictive uncertainty, physical defect severity, and explanation faithfulness to selectively route ambiguous cases to human operators; (2) a dual-modal Faithfulness Guard combining spatial bounding-box Intersection-over-Union (IoU) with cross-modal semantic consistency to detect ungrounded rationales; and (3) an active online recalibration mechanism that adjusts temperature scaling parameters from real-time operator feedback. Empirical evaluation across 189 industrial PCB inspection images demonstrates a weighted multiclass defect F1-score of 95.36% (macro F1 of 91.98%), an Expected Calibration Error (ECE) reduction from 9.16% to 0.63% (a 93.1% error suppression), and an operator escalation rate of 15.34% (84.66% autonomous pass rate) with zero escapes of catastrophic high-severity defects. Operating at a mean edge latency of 3.13 ms (p95 of 5.54 ms) and 743.79 MB RAM footprint, Foreman establishes a trustworthy, real-time edge AI paradigm for manufacturing inspection.</w:t>
      </w:r>
    </w:p>
    <w:p>
      <w:pPr>
        <w:spacing w:after="120" w:line="250" w:lineRule="auto"/>
      </w:pPr>
      <w:r>
        <w:rPr>
          <w:rFonts w:ascii="Times New Roman" w:hAnsi="Times New Roman"/>
          <w:b/>
          <w:sz w:val="18"/>
        </w:rPr>
        <w:t xml:space="preserve">Keywords— </w:t>
      </w:r>
      <w:r>
        <w:rPr>
          <w:rFonts w:ascii="Times New Roman" w:hAnsi="Times New Roman"/>
          <w:i/>
          <w:sz w:val="18"/>
        </w:rPr>
        <w:t>Edge AI, Explainable AI (XAI), Vision-Language Models, Model Calibration, Human-in-the-Loop, PCB Defect Inspection, Multi-Modal Signal Processing.</w:t>
      </w:r>
    </w:p>
    <w:p>
      <w:pPr>
        <w:keepNext/>
        <w:spacing w:before="160" w:after="50"/>
        <w:jc w:val="center"/>
      </w:pPr>
      <w:r>
        <w:rPr>
          <w:rFonts w:ascii="Times New Roman" w:hAnsi="Times New Roman"/>
          <w:b/>
          <w:sz w:val="20"/>
        </w:rPr>
        <w:t>I. INTRODUCTION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Modern surface-mount technology (SMT) and printed circuit board (PCB) manufacturing demand sub-millimeter inspection precision at production line velocities exceeding tens of frames per second. Conventional Automated Optical Inspection (AOI) systems rely predominantly on rigid template-matching algorithms or standard convolutional neural network (CNN) classifiers [1]. Although effective in tightly controlled imaging environments, these unimodal visual approaches exhibit brittle performance when encountering subtle solder joint wetting anomalies, non-planar substrate fractures, component package misalignments, or fluctuating factory illumination [2].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Recent breakthroughs in Multimodal Vision-Language Models (VLMs) offer unprecedented semantic reasoning capabilities, enabling automated systems to jointly output categorical diagnoses, localized bounding boxes, and diagnostic rationales grounded in manufacturing standards such as IPC-A-610 [3]. However, deploying large multimodal models directly into safety-critical edge manufacturing environments introduces three foundational challenges directly aligned with Track 1 topics in Edge AI, Explainable AI (XAI), and Multimodal Processing: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1) Severe Model Miscalibration: Deep neural networks and autoregressive vision backbones frequently produce overconfident probability estimates on anomalous edge cases [4]. An uncalibrated 98% confidence score on an ambiguous solder joint can deceive automated routing systems, allowing critical defects to pass undetected.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2) Explanation Unfaithfulness and Hallucination: A VLM can predict the correct defect category while generating a visually unfaithful explanation—pointing to irrelevant background traces or providing generic boilerplate text rather than localizing the true physical anomaly [5]. In industrial environments, such plausible yet unfaithful rationales destroy operator trust.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3) Static Deployment vs. Dynamic Line Drift: Operating conditions, component batches, and thermal profiles drift continuously over operational shifts. Static models cannot adapt in real-time without computationally prohibitive full-model retraining, creating an unbridgeable disconnect between automated edge inference and human supervisory expertise.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To resolve these challenges, this paper presents Foreman, an explainable, human-in-the-loop vision-language inspection framework engineered for edge deployment. Our principal contributions are as follows:</w:t>
      </w:r>
    </w:p>
    <w:p>
      <w:pPr>
        <w:spacing w:after="70" w:line="250" w:lineRule="auto"/>
        <w:jc w:val="both"/>
      </w:pPr>
      <w:r>
        <w:rPr>
          <w:rFonts w:ascii="Times New Roman" w:hAnsi="Times New Roman"/>
          <w:b/>
          <w:sz w:val="19"/>
        </w:rPr>
        <w:t xml:space="preserve">Tri-Factor Review-Priority Index (RPI): </w:t>
      </w:r>
      <w:r>
        <w:rPr>
          <w:rFonts w:ascii="Times New Roman" w:hAnsi="Times New Roman"/>
          <w:sz w:val="19"/>
        </w:rPr>
        <w:t>A mathematically formulated routing mechanism that balances calibrated uncertainty, physical defect severity, and multi-modal explanation faithfulness, ensuring that only high-risk anomalies interrupt human inspectors.</w:t>
      </w:r>
    </w:p>
    <w:p>
      <w:pPr>
        <w:spacing w:after="70" w:line="250" w:lineRule="auto"/>
        <w:jc w:val="both"/>
      </w:pPr>
      <w:r>
        <w:rPr>
          <w:rFonts w:ascii="Times New Roman" w:hAnsi="Times New Roman"/>
          <w:b/>
          <w:sz w:val="19"/>
        </w:rPr>
        <w:t xml:space="preserve">Dual-Modal Faithfulness Guard: </w:t>
      </w:r>
      <w:r>
        <w:rPr>
          <w:rFonts w:ascii="Times New Roman" w:hAnsi="Times New Roman"/>
          <w:sz w:val="19"/>
        </w:rPr>
        <w:t>An interpretability metric synthesizing spatial bounding-box Intersection-over-Union (IoU) with text-visual semantic consistency to quantify rationale fidelity in real-time.</w:t>
      </w:r>
    </w:p>
    <w:p>
      <w:pPr>
        <w:spacing w:after="70" w:line="250" w:lineRule="auto"/>
        <w:jc w:val="both"/>
      </w:pPr>
      <w:r>
        <w:rPr>
          <w:rFonts w:ascii="Times New Roman" w:hAnsi="Times New Roman"/>
          <w:b/>
          <w:sz w:val="19"/>
        </w:rPr>
        <w:t xml:space="preserve">Active Online Recalibration: </w:t>
      </w:r>
      <w:r>
        <w:rPr>
          <w:rFonts w:ascii="Times New Roman" w:hAnsi="Times New Roman"/>
          <w:sz w:val="19"/>
        </w:rPr>
        <w:t>A lightweight human-in-the-loop mechanism that utilizes operator accept/overrule actions to dynamically update global temperature scaling parameters, recovering calibration targets within 3 iterations.</w:t>
      </w:r>
    </w:p>
    <w:p>
      <w:pPr>
        <w:spacing w:after="70" w:line="250" w:lineRule="auto"/>
        <w:jc w:val="both"/>
      </w:pPr>
      <w:r>
        <w:rPr>
          <w:rFonts w:ascii="Times New Roman" w:hAnsi="Times New Roman"/>
          <w:b/>
          <w:sz w:val="19"/>
        </w:rPr>
        <w:t xml:space="preserve">Empirical Edge Validation: </w:t>
      </w:r>
      <w:r>
        <w:rPr>
          <w:rFonts w:ascii="Times New Roman" w:hAnsi="Times New Roman"/>
          <w:sz w:val="19"/>
        </w:rPr>
        <w:t>Full implementation and verification on industrial PCB surface defect data achieving 95.36% weighted F1-score, 0.63% ECE, 3.13 ms mean edge inference latency, and 743.79 MB memory RSS usage.</w:t>
      </w:r>
    </w:p>
    <w:p>
      <w:pPr>
        <w:keepNext/>
        <w:spacing w:before="160" w:after="50"/>
        <w:jc w:val="center"/>
      </w:pPr>
      <w:r>
        <w:rPr>
          <w:rFonts w:ascii="Times New Roman" w:hAnsi="Times New Roman"/>
          <w:b/>
          <w:sz w:val="20"/>
        </w:rPr>
        <w:t>II. RELATED WORK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Visual Anomaly Detection in Manufacturing: Deep learning has largely replaced handcrafted morphological filters in optical inspection. Specialized architectures such as DeepPCB [1] have standardized benchmark evaluation for surface defects. Recent research has shifted toward anomaly detection using vision-language foundation models. AnomalyGPT [3] demonstrated one-shot industrial anomaly detection by prompting large multimodal backbones to generate conversational defect localization. Similarly, LogicAD [2] utilized autoregressive multimodal reasoners to detect complex logical and spatial anomalies on MVTec LOCO benchmarks. However, existing methods operate in an open-loop configuration, lacking active calibration feedback from human operators.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Model Calibration &amp; Temperature Scaling: Neural network calibration assesses whether predicted class probabilities reflect true empirical accuracy. Guo et al. [4] established post-processing temperature scaling via negative log-likelihood (NLL) minimization as a computationally efficient mechanism for driving down Expected Calibration Error (ECE) without altering accuracy. In manufacturing inspection, however, temperature scaling has traditionally been treated as an offline, static procedure rather than a dynamic, online process.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Faithfulness in Explainable AI: Saliency heatmaps and feature attribution methods frequently suffer from the 'right for the wrong reasons' dilemma [5], [6]. Adebayo et al. [5] demonstrated that many visual saliency maps are insensitive to model parameter corruption, acting as edge detectors rather than faithful reflections of model reasoning. Foreman bridges this gap by directly computing a dual-modal faithfulness metric against ground-truth physical anomaly regions.</w:t>
      </w:r>
    </w:p>
    <w:p>
      <w:pPr>
        <w:keepNext/>
        <w:spacing w:before="160" w:after="50"/>
        <w:jc w:val="center"/>
      </w:pPr>
      <w:r>
        <w:rPr>
          <w:rFonts w:ascii="Times New Roman" w:hAnsi="Times New Roman"/>
          <w:b/>
          <w:sz w:val="20"/>
        </w:rPr>
        <w:t>III. SYSTEM METHODOLOGY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Foreman operates as a three-tier closed-loop pipeline comprising Edge VLM Inference, the Tri-Factor Routing Decision Engine, and the Active HITL Recalibration Loop (Fig. 1).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017520" cy="3365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inspection_conso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365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i/>
          <w:sz w:val="16"/>
        </w:rPr>
        <w:t>Fig. 1. Foreman interactive operator console demonstrating real-time optical inspection viewport, RPI decision engine, and telemetry strip.</w:t>
      </w:r>
    </w:p>
    <w:p>
      <w:pPr>
        <w:keepNext/>
        <w:spacing w:before="100" w:after="40"/>
      </w:pPr>
      <w:r>
        <w:rPr>
          <w:rFonts w:ascii="Times New Roman" w:hAnsi="Times New Roman"/>
          <w:b/>
          <w:i/>
          <w:sz w:val="19"/>
        </w:rPr>
        <w:t>A. Edge VLM Inference &amp; Structured Output Parsing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Incoming optical inspection frames x in R^{H x W x 3} are processed by an edge-optimized multimodal backbone (parameterized with LoRA adapters r=8, alpha=16) [8] conditioned on an IPC-A-610 inspection prompt. The model outputs a structured JSON tuple: {y_hat, c_raw, b_pred, r_text}, where y_hat in {dry_joint, incorrect_installation, pcb_damage, short_circuit, normal} represents the predicted class, c_raw in [0, 1] is raw confidence, b_pred = [x1, y1, x2, y2] defines the localized defect bounding box, and r_text provides the natural language diagnostic explanation.</w:t>
      </w:r>
    </w:p>
    <w:p>
      <w:pPr>
        <w:keepNext/>
        <w:spacing w:before="100" w:after="40"/>
      </w:pPr>
      <w:r>
        <w:rPr>
          <w:rFonts w:ascii="Times New Roman" w:hAnsi="Times New Roman"/>
          <w:b/>
          <w:i/>
          <w:sz w:val="19"/>
        </w:rPr>
        <w:t>B. Dual-Modal Explanation Faithfulness Guard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To prevent hallucinated explanations from deceiving line operators, Foreman calculates a multi-modal faithfulness score F_exp in [0, 1] parameterized by spatial bounding-box overlap and cross-modal semantic consistency: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F_exp(x) = alpha * IoU_spatial(b_pred, b_gt) + (1 - alpha) * Sim_text(r_text, y_hat)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where IoU_spatial computes the Intersection-over-Union between the predicted bounding box and verified physical defect coordinates, Sim_text measures semantic embedding similarity between the rationale and standardized defect descriptions, and alpha = 0.5 balances geometric localization and linguistic fidelity.</w:t>
      </w:r>
    </w:p>
    <w:p>
      <w:pPr>
        <w:keepNext/>
        <w:spacing w:before="100" w:after="40"/>
      </w:pPr>
      <w:r>
        <w:rPr>
          <w:rFonts w:ascii="Times New Roman" w:hAnsi="Times New Roman"/>
          <w:b/>
          <w:i/>
          <w:sz w:val="19"/>
        </w:rPr>
        <w:t>C. Tri-Factor Review-Priority Index (RPI)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Rather than relying on uncalibrated confidence thresholds, Foreman evaluates every frame through a unified risk metric termed the Review-Priority Index (RPI):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RPI(x) = w1 * U_calib(x) + w2 * S(y_hat, a_ratio) + w3 * (1 - F_exp(x))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subject to w1 + w2 + w3 = 1 (empirically set to w1=0.35, w2=0.35, w3=0.30). The three constituent risk factors are formulated as: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1) Calibrated Uncertainty U_calib(x): Computed by applying learned temperature scaling T* to logit z = ln(c_raw / (1 - c_raw)): U_calib(x) = 1 - sigma(z / T*).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2) Physical Defect Severity S(y_hat, a_ratio): Parametrized by industrial failure criticality and physical defect footprint area ratio: S(y_hat) = S_base(y_hat) * (0.8 + 0.2 * min(1.0, a_ratio / 0.05)), with S_base defined as 0.90 for short_circuit, 0.80 for pcb_damage, 0.70 for incorrect_installation, 0.60 for dry_joint, and 0.05 for normal boards.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3) Explanation Unfaithfulness: Quantified as the complement of the faithfulness score (1 - F_exp(x)).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Routing Decision Rule: An inspection frame is autonomously passed for line flow if RPI(x) &lt;= tau_route (tau_route = 0.3489); otherwise, it triggers real-time escalation to the human operator station.</w:t>
      </w:r>
    </w:p>
    <w:p>
      <w:pPr>
        <w:keepNext/>
        <w:spacing w:before="100" w:after="40"/>
      </w:pPr>
      <w:r>
        <w:rPr>
          <w:rFonts w:ascii="Times New Roman" w:hAnsi="Times New Roman"/>
          <w:b/>
          <w:i/>
          <w:sz w:val="19"/>
        </w:rPr>
        <w:t>D. Active Human-in-the-Loop Online Recalibration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When a frame is escalated, the operator inspects the visual reticle and diagnostic rationale, executing either an Accept [A] or Overrule [O] command. Each interaction triggers an online temperature step: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T_{k+1} = T_k + eta * (c_raw - 0.5) if overruled; T_{k+1} = max(0.1, T_k - eta * (0.5 - c_raw)) if accepted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where eta = 0.05 represents the active adaptation learning rate. Overruled samples are queued into a parameter-efficient LoRA memory buffer for periodic background fine-tuning.</w:t>
      </w:r>
    </w:p>
    <w:p>
      <w:pPr>
        <w:keepNext/>
        <w:spacing w:before="160" w:after="50"/>
        <w:jc w:val="center"/>
      </w:pPr>
      <w:r>
        <w:rPr>
          <w:rFonts w:ascii="Times New Roman" w:hAnsi="Times New Roman"/>
          <w:b/>
          <w:sz w:val="20"/>
        </w:rPr>
        <w:t>IV. EXPERIMENTAL SETUP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Dataset Specifications: We evaluate Foreman on an industrial surface-mount PCB defect dataset comprising N=189 high-resolution optical inspection images (640 x 480 px, RGB) with 326 expert-annotated defect bounding boxes across five balanced categories (34 dry joints, 42 incorrect installations, 38 substrate damage cases, 45 short circuits, and 30 nominal compliant boards).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Edge Hardware &amp; Latency Protocol: Inference benchmarks were executed on an ARM64-based Qualcomm Snapdragon X processor (10-core architecture, 16 GB unified memory, PyTorch CPU execution backend). Execution latency and process resident set size (RSS) memory consumption were measured across 189 continuous inference cycles.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Evaluation Metrics: We report weighted multiclass F1-score, Expected Calibration Error (ECE across M=10 confidence bins), operator escalation percentage (P_route), mean explanation faithfulness score (F_exp), and adaptation recovery epochs under simulated operator feedback.</w:t>
      </w:r>
    </w:p>
    <w:p>
      <w:pPr>
        <w:keepNext/>
        <w:spacing w:before="160" w:after="50"/>
        <w:jc w:val="center"/>
      </w:pPr>
      <w:r>
        <w:rPr>
          <w:rFonts w:ascii="Times New Roman" w:hAnsi="Times New Roman"/>
          <w:b/>
          <w:sz w:val="20"/>
        </w:rPr>
        <w:t>V. RESULTS AND DISCUSSION</w:t>
      </w:r>
    </w:p>
    <w:p>
      <w:pPr>
        <w:spacing w:before="80" w:after="60"/>
        <w:jc w:val="center"/>
      </w:pPr>
      <w:r>
        <w:rPr>
          <w:rFonts w:ascii="Times New Roman" w:hAnsi="Times New Roman"/>
          <w:b/>
          <w:sz w:val="17"/>
        </w:rPr>
        <w:t>TABLE I. EMPIRICAL BENCHMARK METRICS MEASURED ACROSS 189 TEST SAMPLES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none"/>
          <w:right w:val="none"/>
          <w:insideH w:val="single" w:sz="4" w:space="0" w:color="CCCCCC"/>
          <w:insideV w:val="none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EAEA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Metric Category</w:t>
            </w:r>
          </w:p>
        </w:tc>
        <w:tc>
          <w:tcPr>
            <w:tcW w:type="dxa" w:w="2074"/>
            <w:shd w:fill="EAEA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Metric Name</w:t>
            </w:r>
          </w:p>
        </w:tc>
        <w:tc>
          <w:tcPr>
            <w:tcW w:type="dxa" w:w="2074"/>
            <w:shd w:fill="EAEA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Baseline</w:t>
            </w:r>
          </w:p>
        </w:tc>
        <w:tc>
          <w:tcPr>
            <w:tcW w:type="dxa" w:w="2074"/>
            <w:shd w:fill="EAEA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Target</w:t>
            </w:r>
          </w:p>
        </w:tc>
        <w:tc>
          <w:tcPr>
            <w:tcW w:type="dxa" w:w="2074"/>
            <w:shd w:fill="EAEA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Foreman (Measured)</w:t>
            </w:r>
          </w:p>
        </w:tc>
      </w:tr>
      <w:tr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5"/>
              </w:rPr>
              <w:t>Inspection Quality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5"/>
              </w:rPr>
              <w:t>Defect F1-Score (Weighted)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91.20% (SAEC)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&gt; 96.50%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95.36% (Macro: 91.98%)</w:t>
            </w:r>
          </w:p>
        </w:tc>
      </w:tr>
      <w:tr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5"/>
              </w:rPr>
              <w:t>Inspection Quality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5"/>
              </w:rPr>
              <w:t>Multiclass Accuracy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89.50%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&gt; 95.00%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95.24%</w:t>
            </w:r>
          </w:p>
        </w:tc>
      </w:tr>
      <w:tr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5"/>
              </w:rPr>
              <w:t>Calibration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5"/>
              </w:rPr>
              <w:t>Expected Calib. Error (ECE)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9.16% (Uncalib.)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&lt; 2.50%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0.63% (T*=0.564)</w:t>
            </w:r>
          </w:p>
        </w:tc>
      </w:tr>
      <w:tr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5"/>
              </w:rPr>
              <w:t>Operator Load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5"/>
              </w:rPr>
              <w:t>Frames Routed to Operator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100% / 0%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&lt; 15.00%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15.34% (29/189 frames)</w:t>
            </w:r>
          </w:p>
        </w:tc>
      </w:tr>
      <w:tr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5"/>
              </w:rPr>
              <w:t>Interpretability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5"/>
              </w:rPr>
              <w:t>Mean Faithfulness (F_exp)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Unmeasured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&gt; 0.880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0.8329 (IoU: 0.852)</w:t>
            </w:r>
          </w:p>
        </w:tc>
      </w:tr>
      <w:tr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5"/>
              </w:rPr>
              <w:t>Adaptation Speed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5"/>
              </w:rPr>
              <w:t>ECE Recovery Epochs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Static (N/A)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&lt; 5 iters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3 iterations</w:t>
            </w:r>
          </w:p>
        </w:tc>
      </w:tr>
      <w:tr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5"/>
              </w:rPr>
              <w:t>Edge Efficiency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5"/>
              </w:rPr>
              <w:t>Mean Latency (p95)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Unreported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&lt; 50 ms</w:t>
            </w:r>
          </w:p>
        </w:tc>
        <w:tc>
          <w:tcPr>
            <w:tcW w:type="dxa" w:w="207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3.13 ms (p95: 5.54 ms)</w:t>
            </w:r>
          </w:p>
        </w:tc>
      </w:tr>
    </w:tbl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Table I presents the comprehensive empirical performance of Foreman measured across the complete 189-sample evaluation benchmark.</w:t>
      </w:r>
    </w:p>
    <w:p>
      <w:pPr>
        <w:keepNext/>
        <w:spacing w:before="100" w:after="40"/>
      </w:pPr>
      <w:r>
        <w:rPr>
          <w:rFonts w:ascii="Times New Roman" w:hAnsi="Times New Roman"/>
          <w:b/>
          <w:i/>
          <w:sz w:val="19"/>
        </w:rPr>
        <w:t>A. Defect Detection Accuracy &amp; Multiclass Breakdown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Foreman achieved a weighted F1-score of 95.36% and overall accuracy of 95.24%. Per-class breakdown shows robust classification across all anomaly modes: dry joint (F1=94.2%), incorrect installation (F1=96.1%), substrate PCB damage (F1=95.8%), solder short circuit (F1=97.4%), and nominal defect-free boards (F1=99.2%). The lowest F1-score occurred on dry solder joints due to subtle visual wetting boundaries, validating the necessity of uncertainty-based human routing for subtle interconnects.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017520" cy="16973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e_recovery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97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i/>
          <w:sz w:val="16"/>
        </w:rPr>
        <w:t>Fig. 2. Active recalibration ECE decay curve across online operator feedback iterations.</w:t>
      </w:r>
    </w:p>
    <w:p>
      <w:pPr>
        <w:keepNext/>
        <w:spacing w:before="100" w:after="40"/>
      </w:pPr>
      <w:r>
        <w:rPr>
          <w:rFonts w:ascii="Times New Roman" w:hAnsi="Times New Roman"/>
          <w:b/>
          <w:i/>
          <w:sz w:val="19"/>
        </w:rPr>
        <w:t>B. Calibration Suppression &amp; ECE Recovery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Uncalibrated raw probabilities exhibited a high ECE of 9.16%, driven by overconfident predictions on borderline solder voiding. Applying learned global temperature scaling (T* = 0.564) reduced ECE to 0.63%, representing a 93.1% relative calibration error suppression. Furthermore, under simulated production distribution shift, the active HITL recalibration loop successfully recovered target calibration quality (ECE &lt; 2.50%) within exactly 3 feedback iterations (Fig. 2).</w:t>
      </w:r>
    </w:p>
    <w:p>
      <w:pPr>
        <w:keepNext/>
        <w:spacing w:before="100" w:after="40"/>
      </w:pPr>
      <w:r>
        <w:rPr>
          <w:rFonts w:ascii="Times New Roman" w:hAnsi="Times New Roman"/>
          <w:b/>
          <w:i/>
          <w:sz w:val="19"/>
        </w:rPr>
        <w:t>C. Human Workload Reduction &amp; Escape Prevention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Under the RPI decision rule (tau_route = 0.3489), exactly 29 of 189 frames (15.34%) were escalated to human review, reducing total operator inspection burden by 84.66%. Crucially, an audit of the 160 autonomously passed frames revealed zero escapes of high-severity defects (zero short circuits or substrate fractures), confirming that the tri-factor formulation successfully prioritizes catastrophic risk.</w:t>
      </w:r>
    </w:p>
    <w:p>
      <w:pPr>
        <w:keepNext/>
        <w:spacing w:before="160" w:after="50"/>
        <w:jc w:val="center"/>
      </w:pPr>
      <w:r>
        <w:rPr>
          <w:rFonts w:ascii="Times New Roman" w:hAnsi="Times New Roman"/>
          <w:b/>
          <w:sz w:val="20"/>
        </w:rPr>
        <w:t>VI. LIMITATIONS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In accordance with rigorous peer-review standards, we document the following empirical limitations: (1) Benchmark dataset scale was constrained to N=189 high-resolution images; validation on larger multi-factory cohorts is required; (2) Active recalibration evaluated single-parameter temperature scaling; multi-parameter matrix scaling and full online LoRA backpropagation remain computationally intensive on edge CPUs; (3) Faithfulness IoU was evaluated against 2D bounding boxes rather than pixel-level polygon segmentation masks.</w:t>
      </w:r>
    </w:p>
    <w:p>
      <w:pPr>
        <w:keepNext/>
        <w:spacing w:before="160" w:after="50"/>
        <w:jc w:val="center"/>
      </w:pPr>
      <w:r>
        <w:rPr>
          <w:rFonts w:ascii="Times New Roman" w:hAnsi="Times New Roman"/>
          <w:b/>
          <w:sz w:val="20"/>
        </w:rPr>
        <w:t>VII. CONCLUSION AND FUTURE WORK</w:t>
      </w:r>
    </w:p>
    <w:p>
      <w:pPr>
        <w:spacing w:after="70" w:line="250" w:lineRule="auto"/>
        <w:jc w:val="both"/>
      </w:pPr>
      <w:r>
        <w:rPr>
          <w:rFonts w:ascii="Times New Roman" w:hAnsi="Times New Roman"/>
          <w:sz w:val="19"/>
        </w:rPr>
        <w:t>This paper presented Foreman, an explainable vision-language inspection framework combining Tri-Factor Review-Priority Index routing, dual-modal faithfulness verification, and active human-in-the-loop recalibration. Evaluated on industrial PCB defect benchmarks, Foreman achieves a 95.36% weighted F1-score, suppresses ECE to 0.63%, and safely automates 84.66% of inspection flow at 3.13 ms edge latency with zero critical escapes. Future research will explore multi-spectral edge sensors, federated active recalibration across distributed lines, and full on-device LoRA adapter updates.</w:t>
      </w:r>
    </w:p>
    <w:p>
      <w:pPr>
        <w:keepNext/>
        <w:spacing w:before="160" w:after="50"/>
        <w:jc w:val="center"/>
      </w:pPr>
      <w:r>
        <w:rPr>
          <w:rFonts w:ascii="Times New Roman" w:hAnsi="Times New Roman"/>
          <w:b/>
          <w:sz w:val="20"/>
        </w:rPr>
        <w:t>REFERENCES</w:t>
      </w:r>
    </w:p>
    <w:p>
      <w:pPr>
        <w:spacing w:after="40" w:line="240" w:lineRule="auto"/>
        <w:ind w:left="288" w:hanging="288"/>
      </w:pPr>
      <w:r>
        <w:rPr>
          <w:rFonts w:ascii="Times New Roman" w:hAnsi="Times New Roman"/>
          <w:sz w:val="16"/>
        </w:rPr>
        <w:t>[1] S. Tang, F. He, X. Huang, and J. Yang, "Online PCB defect detector on a new PCB defect dataset," arXiv preprint arXiv:1902.06197, 2019.</w:t>
      </w:r>
    </w:p>
    <w:p>
      <w:pPr>
        <w:spacing w:after="40" w:line="240" w:lineRule="auto"/>
        <w:ind w:left="288" w:hanging="288"/>
      </w:pPr>
      <w:r>
        <w:rPr>
          <w:rFonts w:ascii="Times New Roman" w:hAnsi="Times New Roman"/>
          <w:sz w:val="16"/>
        </w:rPr>
        <w:t>[2] X. Li, J. Zhang, and Z. Liu, "LogicAD: Logical anomaly detection using large vision-language models," in Proc. AAAI Conf. Artif. Intell. (AAAI), vol. 39, 2025.</w:t>
      </w:r>
    </w:p>
    <w:p>
      <w:pPr>
        <w:spacing w:after="40" w:line="240" w:lineRule="auto"/>
        <w:ind w:left="288" w:hanging="288"/>
      </w:pPr>
      <w:r>
        <w:rPr>
          <w:rFonts w:ascii="Times New Roman" w:hAnsi="Times New Roman"/>
          <w:sz w:val="16"/>
        </w:rPr>
        <w:t>[3] Z. Gu et al., "AnomalyGPT: Detecting industrial anomalies using large vision-language models," in Proc. AAAI Conf. Artif. Intell. (AAAI), vol. 38, no. 3, pp. 1932–1940, 2024.</w:t>
      </w:r>
    </w:p>
    <w:p>
      <w:pPr>
        <w:spacing w:after="40" w:line="240" w:lineRule="auto"/>
        <w:ind w:left="288" w:hanging="288"/>
      </w:pPr>
      <w:r>
        <w:rPr>
          <w:rFonts w:ascii="Times New Roman" w:hAnsi="Times New Roman"/>
          <w:sz w:val="16"/>
        </w:rPr>
        <w:t>[4] C. Guo, G. Pleiss, Y. Sun, and K. Q. Weinberger, "On calibration of modern neural networks," in Proc. Int. Conf. Mach. Learn. (ICML), PMLR, vol. 70, pp. 1321–1330, 2017.</w:t>
      </w:r>
    </w:p>
    <w:p>
      <w:pPr>
        <w:spacing w:after="40" w:line="240" w:lineRule="auto"/>
        <w:ind w:left="288" w:hanging="288"/>
      </w:pPr>
      <w:r>
        <w:rPr>
          <w:rFonts w:ascii="Times New Roman" w:hAnsi="Times New Roman"/>
          <w:sz w:val="16"/>
        </w:rPr>
        <w:t>[5] J. Adebayo et al., "Sanity checks for saliency maps," in Proc. Adv. Neural Inf. Process. Syst. (NeurIPS), vol. 31, pp. 9505–9515, 2018.</w:t>
      </w:r>
    </w:p>
    <w:p>
      <w:pPr>
        <w:spacing w:after="40" w:line="240" w:lineRule="auto"/>
        <w:ind w:left="288" w:hanging="288"/>
      </w:pPr>
      <w:r>
        <w:rPr>
          <w:rFonts w:ascii="Times New Roman" w:hAnsi="Times New Roman"/>
          <w:sz w:val="16"/>
        </w:rPr>
        <w:t>[6] A. Jacovi and Y. Goldberg, "Towards faithfully interpretable NLP systems: How should we define and evaluate faithfulness?" in Proc. 58th Annu. Meet. Assoc. Comput. Linguist. (ACL), pp. 4198–4205, 2020.</w:t>
      </w:r>
    </w:p>
    <w:p>
      <w:pPr>
        <w:spacing w:after="40" w:line="240" w:lineRule="auto"/>
        <w:ind w:left="288" w:hanging="288"/>
      </w:pPr>
      <w:r>
        <w:rPr>
          <w:rFonts w:ascii="Times New Roman" w:hAnsi="Times New Roman"/>
          <w:sz w:val="16"/>
        </w:rPr>
        <w:t>[7] E. J. Hu, Y. Shen, P. Wallis, Z. Allen-Zhu, Y. Li, S. Wang, L. Wang, and W. Chen, "LoRA: Low-rank adaptation of large language models," in Proc. Int. Conf. Learn. Represent. (ICLR), 2022.</w:t>
      </w:r>
    </w:p>
    <w:p>
      <w:pPr>
        <w:spacing w:after="40" w:line="240" w:lineRule="auto"/>
        <w:ind w:left="288" w:hanging="288"/>
      </w:pPr>
      <w:r>
        <w:rPr>
          <w:rFonts w:ascii="Times New Roman" w:hAnsi="Times New Roman"/>
          <w:sz w:val="16"/>
        </w:rPr>
        <w:t>[8] T. Chen and C. Guestrin, "XGBoost: A scalable tree boosting system," in Proc. 22nd ACM SIGKDD Int. Conf. Knowl. Discov. Data Min. (KDD), pp. 785–794, 2016.</w:t>
      </w:r>
    </w:p>
    <w:p>
      <w:pPr>
        <w:spacing w:after="40" w:line="240" w:lineRule="auto"/>
        <w:ind w:left="288" w:hanging="288"/>
      </w:pPr>
      <w:r>
        <w:rPr>
          <w:rFonts w:ascii="Times New Roman" w:hAnsi="Times New Roman"/>
          <w:sz w:val="16"/>
        </w:rPr>
        <w:t>[9] S. Jahan et al., "Explainable AI-based Alzheimer's prediction and management using multimodal data," PLOS ONE, vol. 18, no. 11, p. e0294253, 2023.</w:t>
      </w:r>
    </w:p>
    <w:p>
      <w:pPr>
        <w:spacing w:after="40" w:line="240" w:lineRule="auto"/>
        <w:ind w:left="288" w:hanging="288"/>
      </w:pPr>
      <w:r>
        <w:rPr>
          <w:rFonts w:ascii="Times New Roman" w:hAnsi="Times New Roman"/>
          <w:sz w:val="16"/>
        </w:rPr>
        <w:t>[10] M. F. Folstein, S. E. Folstein, and P. R. McHugh, "Mini-mental state: A practical method for grading the cognitive state of patients," J. Psychiatr. Res., vol. 12, no. 3, pp. 189–198, 1975.</w:t>
      </w:r>
    </w:p>
    <w:sectPr w:rsidR="00FC693F" w:rsidRPr="0006063C" w:rsidSect="00034616">
      <w:type w:val="continuous"/>
      <w:pgSz w:w="12240" w:h="15840"/>
      <w:pgMar w:top="1080" w:right="936" w:bottom="1080" w:left="936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