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4C80" w14:textId="77777777" w:rsidR="008A5B40" w:rsidRPr="00487BCC" w:rsidRDefault="00000000">
      <w:pPr>
        <w:spacing w:after="513" w:line="259" w:lineRule="auto"/>
        <w:ind w:left="93" w:firstLine="0"/>
        <w:jc w:val="center"/>
        <w:rPr>
          <w:sz w:val="72"/>
          <w:szCs w:val="72"/>
        </w:rPr>
      </w:pPr>
      <w:r w:rsidRPr="00487BCC">
        <w:rPr>
          <w:b/>
          <w:color w:val="00008B"/>
          <w:sz w:val="72"/>
          <w:szCs w:val="72"/>
        </w:rPr>
        <w:t>Business Insights Report</w:t>
      </w:r>
    </w:p>
    <w:p w14:paraId="49E9FD5D" w14:textId="77777777" w:rsidR="00487BCC" w:rsidRDefault="00487BCC">
      <w:pPr>
        <w:pStyle w:val="Heading1"/>
        <w:numPr>
          <w:ilvl w:val="0"/>
          <w:numId w:val="0"/>
        </w:numPr>
        <w:spacing w:after="462"/>
        <w:rPr>
          <w:i/>
          <w:color w:val="000000"/>
          <w:sz w:val="24"/>
        </w:rPr>
      </w:pPr>
    </w:p>
    <w:p w14:paraId="79983166" w14:textId="77777777" w:rsidR="00487BCC" w:rsidRDefault="00487BCC">
      <w:pPr>
        <w:pStyle w:val="Heading1"/>
        <w:numPr>
          <w:ilvl w:val="0"/>
          <w:numId w:val="0"/>
        </w:numPr>
        <w:spacing w:after="462"/>
        <w:rPr>
          <w:i/>
          <w:color w:val="000000"/>
          <w:sz w:val="24"/>
        </w:rPr>
      </w:pPr>
    </w:p>
    <w:p w14:paraId="7A39A995" w14:textId="30A9B52C" w:rsidR="008A5B40" w:rsidRPr="00487BCC" w:rsidRDefault="00000000">
      <w:pPr>
        <w:pStyle w:val="Heading1"/>
        <w:numPr>
          <w:ilvl w:val="0"/>
          <w:numId w:val="0"/>
        </w:numPr>
        <w:spacing w:after="462"/>
        <w:rPr>
          <w:sz w:val="40"/>
          <w:szCs w:val="40"/>
        </w:rPr>
      </w:pPr>
      <w:r w:rsidRPr="00487BCC">
        <w:rPr>
          <w:i/>
          <w:color w:val="000000"/>
          <w:sz w:val="40"/>
          <w:szCs w:val="40"/>
        </w:rPr>
        <w:t>Project: Intelligent Payroll System using Machine Learning</w:t>
      </w:r>
    </w:p>
    <w:p w14:paraId="112BA63A" w14:textId="77777777" w:rsidR="008A5B40" w:rsidRPr="00487BCC" w:rsidRDefault="00000000">
      <w:pPr>
        <w:spacing w:after="0"/>
        <w:ind w:left="-5"/>
        <w:rPr>
          <w:sz w:val="36"/>
          <w:szCs w:val="36"/>
        </w:rPr>
      </w:pPr>
      <w:r w:rsidRPr="00487BCC">
        <w:rPr>
          <w:sz w:val="36"/>
          <w:szCs w:val="36"/>
        </w:rPr>
        <w:t>This report presents detailed business insights derived from payroll data analysis and machine learning models. The insights focus on improving payroll accuracy, reducing financial risk, enhancing HR decision-making, and enabling data-driven organizational strategies.</w:t>
      </w:r>
      <w:r w:rsidRPr="00487BCC">
        <w:rPr>
          <w:sz w:val="36"/>
          <w:szCs w:val="36"/>
        </w:rPr>
        <w:br w:type="page"/>
      </w:r>
    </w:p>
    <w:p w14:paraId="5294C487" w14:textId="77777777" w:rsidR="008A5B40" w:rsidRDefault="00000000">
      <w:pPr>
        <w:pStyle w:val="Heading1"/>
        <w:ind w:left="296" w:hanging="311"/>
      </w:pPr>
      <w:r>
        <w:lastRenderedPageBreak/>
        <w:t>Payroll Salary Insights</w:t>
      </w:r>
    </w:p>
    <w:p w14:paraId="3044577F" w14:textId="77777777" w:rsidR="008A5B40" w:rsidRDefault="00000000">
      <w:pPr>
        <w:ind w:left="-5"/>
      </w:pPr>
      <w:r>
        <w:t>Salary analysis revealed a clear structure in compensation across departments and experience levels. Most employees fall within a defined salary band, ensuring internal pay equity. However, extreme salary values highlight the need for periodic payroll audits. Machine learning-based salary prediction helps forecast payroll budgets and validate salary fairness for new and existing employees.</w:t>
      </w:r>
    </w:p>
    <w:p w14:paraId="48DD5E8E" w14:textId="77777777" w:rsidR="008A5B40" w:rsidRDefault="00000000">
      <w:pPr>
        <w:pStyle w:val="Heading1"/>
        <w:ind w:left="296" w:hanging="311"/>
      </w:pPr>
      <w:r>
        <w:t>Experience-Based Compensation Strategy</w:t>
      </w:r>
    </w:p>
    <w:p w14:paraId="6F8148FF" w14:textId="77777777" w:rsidR="008A5B40" w:rsidRDefault="00000000">
      <w:pPr>
        <w:ind w:left="-5"/>
      </w:pPr>
      <w:r>
        <w:t>A strong positive relationship exists between employee experience and salary. This confirms that experience remains a key driver of compensation decisions. ML models leverage this relationship to predict expected salary ranges, helping HR teams design transparent and consistent compensation policies.</w:t>
      </w:r>
    </w:p>
    <w:p w14:paraId="4DDA4F8E" w14:textId="77777777" w:rsidR="008A5B40" w:rsidRDefault="00000000">
      <w:pPr>
        <w:pStyle w:val="Heading1"/>
        <w:ind w:left="296" w:hanging="311"/>
      </w:pPr>
      <w:r>
        <w:t>Attendance &amp; Productivity Insights</w:t>
      </w:r>
    </w:p>
    <w:p w14:paraId="4B2ACA3C" w14:textId="77777777" w:rsidR="008A5B40" w:rsidRDefault="00000000">
      <w:pPr>
        <w:ind w:left="-5"/>
      </w:pPr>
      <w:r>
        <w:t>Attendance and leave patterns directly influence payroll accuracy. Employees with low attendance but high salary were flagged for review, indicating potential payroll errors or policy exceptions. Monitoring working days improves wage calculation accuracy and promotes fair compensation linked to productivity.</w:t>
      </w:r>
    </w:p>
    <w:p w14:paraId="439D3CDC" w14:textId="77777777" w:rsidR="008A5B40" w:rsidRDefault="00000000">
      <w:pPr>
        <w:pStyle w:val="Heading1"/>
        <w:ind w:left="296" w:hanging="311"/>
      </w:pPr>
      <w:r>
        <w:t>Attrition Risk &amp; Workforce Stability</w:t>
      </w:r>
    </w:p>
    <w:p w14:paraId="02348E54" w14:textId="77777777" w:rsidR="008A5B40" w:rsidRDefault="00000000">
      <w:pPr>
        <w:ind w:left="-5"/>
      </w:pPr>
      <w:r>
        <w:t>Attrition analysis helps identify employees who are likely to leave the organization. High attrition rates increase recruitment costs and disrupt operations. The attrition prediction model enables proactive retention strategies, such as targeted engagement, performance incentives, and career development planning.</w:t>
      </w:r>
    </w:p>
    <w:p w14:paraId="3544EE27" w14:textId="77777777" w:rsidR="008A5B40" w:rsidRDefault="00000000">
      <w:pPr>
        <w:pStyle w:val="Heading1"/>
        <w:ind w:left="296" w:hanging="311"/>
      </w:pPr>
      <w:r>
        <w:t>Payroll Anomaly &amp; Fraud Detection</w:t>
      </w:r>
    </w:p>
    <w:p w14:paraId="30712C82" w14:textId="77777777" w:rsidR="008A5B40" w:rsidRDefault="00000000">
      <w:pPr>
        <w:ind w:left="-5"/>
      </w:pPr>
      <w:r>
        <w:t>Unsupervised anomaly detection identified abnormal payroll records, including unusually high salaries, inconsistent attendance values, and negative working days. These anomalies may indicate payroll fraud, system errors, or incorrect data entry. Early detection reduces financial losses and ensures compliance with payroll policies.</w:t>
      </w:r>
    </w:p>
    <w:p w14:paraId="00C535A5" w14:textId="77777777" w:rsidR="008A5B40" w:rsidRDefault="00000000">
      <w:pPr>
        <w:pStyle w:val="Heading1"/>
        <w:ind w:left="296" w:hanging="311"/>
      </w:pPr>
      <w:r>
        <w:t>Cost Optimization &amp; Financial Control</w:t>
      </w:r>
    </w:p>
    <w:p w14:paraId="28A7BA2F" w14:textId="77777777" w:rsidR="008A5B40" w:rsidRDefault="00000000">
      <w:pPr>
        <w:ind w:left="-5"/>
      </w:pPr>
      <w:r>
        <w:t>Payroll represents one of the largest operational expenses for organizations. By identifying inefficiencies and anomalies, ML-driven payroll analytics supports cost optimization and improved financial governance. Accurate salary prediction assists finance teams in long-term budgeting and planning.</w:t>
      </w:r>
    </w:p>
    <w:p w14:paraId="459E5C3D" w14:textId="77777777" w:rsidR="008A5B40" w:rsidRDefault="00000000">
      <w:pPr>
        <w:pStyle w:val="Heading1"/>
        <w:ind w:left="296" w:hanging="311"/>
      </w:pPr>
      <w:r>
        <w:lastRenderedPageBreak/>
        <w:t>Strategic Value of AI in Payroll</w:t>
      </w:r>
    </w:p>
    <w:p w14:paraId="67457A38" w14:textId="77777777" w:rsidR="008A5B40" w:rsidRDefault="00000000">
      <w:pPr>
        <w:ind w:left="-5"/>
      </w:pPr>
      <w:r>
        <w:t>Artificial Intelligence transforms payroll from a transactional process into a strategic function. AI-driven insights enhance transparency, accuracy, and trust in payroll systems. Organizations benefit from reduced manual effort, faster decision-making, and data-backed HR and finance strategies.</w:t>
      </w:r>
    </w:p>
    <w:p w14:paraId="6F6EA7A2" w14:textId="77777777" w:rsidR="008A5B40" w:rsidRDefault="00000000">
      <w:pPr>
        <w:pStyle w:val="Heading1"/>
        <w:ind w:left="296" w:hanging="311"/>
      </w:pPr>
      <w:r>
        <w:t>Actionable Recommendations</w:t>
      </w:r>
    </w:p>
    <w:p w14:paraId="0321E445" w14:textId="77777777" w:rsidR="008A5B40" w:rsidRDefault="00000000">
      <w:pPr>
        <w:numPr>
          <w:ilvl w:val="0"/>
          <w:numId w:val="1"/>
        </w:numPr>
        <w:spacing w:after="4"/>
        <w:ind w:hanging="126"/>
      </w:pPr>
      <w:r>
        <w:t>Implement ML-based salary validation before payroll processing</w:t>
      </w:r>
    </w:p>
    <w:p w14:paraId="463EECA1" w14:textId="77777777" w:rsidR="008A5B40" w:rsidRDefault="00000000">
      <w:pPr>
        <w:numPr>
          <w:ilvl w:val="0"/>
          <w:numId w:val="1"/>
        </w:numPr>
        <w:spacing w:after="4"/>
        <w:ind w:hanging="126"/>
      </w:pPr>
      <w:r>
        <w:t>Regularly monitor anomaly reports to prevent payroll fraud</w:t>
      </w:r>
    </w:p>
    <w:p w14:paraId="7708B3DB" w14:textId="77777777" w:rsidR="008A5B40" w:rsidRDefault="00000000">
      <w:pPr>
        <w:numPr>
          <w:ilvl w:val="0"/>
          <w:numId w:val="1"/>
        </w:numPr>
        <w:spacing w:after="4"/>
        <w:ind w:hanging="126"/>
      </w:pPr>
      <w:r>
        <w:t>Use attrition predictions to design employee retention programs</w:t>
      </w:r>
    </w:p>
    <w:p w14:paraId="23E8C176" w14:textId="77777777" w:rsidR="008A5B40" w:rsidRDefault="00000000">
      <w:pPr>
        <w:numPr>
          <w:ilvl w:val="0"/>
          <w:numId w:val="1"/>
        </w:numPr>
        <w:spacing w:after="4"/>
        <w:ind w:hanging="126"/>
      </w:pPr>
      <w:r>
        <w:t>Align compensation policies with experience and productivity metrics</w:t>
      </w:r>
    </w:p>
    <w:p w14:paraId="33528ABC" w14:textId="77777777" w:rsidR="008A5B40" w:rsidRDefault="00000000">
      <w:pPr>
        <w:numPr>
          <w:ilvl w:val="0"/>
          <w:numId w:val="1"/>
        </w:numPr>
        <w:ind w:hanging="126"/>
      </w:pPr>
      <w:r>
        <w:t>Integrate payroll analytics dashboards for real-time monitoring</w:t>
      </w:r>
      <w:r>
        <w:br w:type="page"/>
      </w:r>
    </w:p>
    <w:p w14:paraId="00A110FD" w14:textId="77777777" w:rsidR="008A5B40" w:rsidRDefault="00000000">
      <w:pPr>
        <w:pStyle w:val="Heading1"/>
        <w:numPr>
          <w:ilvl w:val="0"/>
          <w:numId w:val="0"/>
        </w:numPr>
        <w:ind w:left="-5"/>
      </w:pPr>
      <w:r>
        <w:lastRenderedPageBreak/>
        <w:t>Conclusion</w:t>
      </w:r>
    </w:p>
    <w:p w14:paraId="3E156059" w14:textId="77777777" w:rsidR="008A5B40" w:rsidRDefault="00000000">
      <w:pPr>
        <w:spacing w:after="0"/>
        <w:ind w:left="-5"/>
      </w:pPr>
      <w:r>
        <w:t>The business insights derived from payroll data demonstrate the significant value of machine learning in enhancing payroll accuracy, workforce stability, and financial control. By adopting AI-driven payroll intelligence, organizations can achieve operational efficiency, risk reduction, and strategic workforce planning.</w:t>
      </w:r>
    </w:p>
    <w:sectPr w:rsidR="008A5B40">
      <w:pgSz w:w="11906" w:h="16838"/>
      <w:pgMar w:top="1616" w:right="1653" w:bottom="222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BEE"/>
    <w:multiLevelType w:val="hybridMultilevel"/>
    <w:tmpl w:val="1C14AFC0"/>
    <w:lvl w:ilvl="0" w:tplc="CCEC0DD8">
      <w:start w:val="1"/>
      <w:numFmt w:val="bullet"/>
      <w:lvlText w:val="•"/>
      <w:lvlJc w:val="left"/>
      <w:pPr>
        <w:ind w:left="4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EB838">
      <w:start w:val="1"/>
      <w:numFmt w:val="bullet"/>
      <w:lvlText w:val="o"/>
      <w:lvlJc w:val="left"/>
      <w:pPr>
        <w:ind w:left="5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569BAE">
      <w:start w:val="1"/>
      <w:numFmt w:val="bullet"/>
      <w:lvlText w:val="▪"/>
      <w:lvlJc w:val="left"/>
      <w:pPr>
        <w:ind w:left="5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FE4CF2">
      <w:start w:val="1"/>
      <w:numFmt w:val="bullet"/>
      <w:lvlText w:val="•"/>
      <w:lvlJc w:val="left"/>
      <w:pPr>
        <w:ind w:left="6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54ED78">
      <w:start w:val="1"/>
      <w:numFmt w:val="bullet"/>
      <w:lvlText w:val="o"/>
      <w:lvlJc w:val="left"/>
      <w:pPr>
        <w:ind w:left="7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5E4108">
      <w:start w:val="1"/>
      <w:numFmt w:val="bullet"/>
      <w:lvlText w:val="▪"/>
      <w:lvlJc w:val="left"/>
      <w:pPr>
        <w:ind w:left="7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18C95C">
      <w:start w:val="1"/>
      <w:numFmt w:val="bullet"/>
      <w:lvlText w:val="•"/>
      <w:lvlJc w:val="left"/>
      <w:pPr>
        <w:ind w:left="86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4EE89E">
      <w:start w:val="1"/>
      <w:numFmt w:val="bullet"/>
      <w:lvlText w:val="o"/>
      <w:lvlJc w:val="left"/>
      <w:pPr>
        <w:ind w:left="9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C89BC0">
      <w:start w:val="1"/>
      <w:numFmt w:val="bullet"/>
      <w:lvlText w:val="▪"/>
      <w:lvlJc w:val="left"/>
      <w:pPr>
        <w:ind w:left="10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621A96"/>
    <w:multiLevelType w:val="hybridMultilevel"/>
    <w:tmpl w:val="3878A940"/>
    <w:lvl w:ilvl="0" w:tplc="A01CDC8E">
      <w:start w:val="1"/>
      <w:numFmt w:val="decimal"/>
      <w:pStyle w:val="Heading1"/>
      <w:lvlText w:val="%1."/>
      <w:lvlJc w:val="left"/>
      <w:pPr>
        <w:ind w:left="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1" w:tplc="BCD0307E">
      <w:start w:val="1"/>
      <w:numFmt w:val="lowerLetter"/>
      <w:lvlText w:val="%2"/>
      <w:lvlJc w:val="left"/>
      <w:pPr>
        <w:ind w:left="108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2" w:tplc="BDF872F0">
      <w:start w:val="1"/>
      <w:numFmt w:val="lowerRoman"/>
      <w:lvlText w:val="%3"/>
      <w:lvlJc w:val="left"/>
      <w:pPr>
        <w:ind w:left="180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3" w:tplc="C2D29E4A">
      <w:start w:val="1"/>
      <w:numFmt w:val="decimal"/>
      <w:lvlText w:val="%4"/>
      <w:lvlJc w:val="left"/>
      <w:pPr>
        <w:ind w:left="252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4" w:tplc="2CF06C58">
      <w:start w:val="1"/>
      <w:numFmt w:val="lowerLetter"/>
      <w:lvlText w:val="%5"/>
      <w:lvlJc w:val="left"/>
      <w:pPr>
        <w:ind w:left="324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5" w:tplc="EA5EC2C0">
      <w:start w:val="1"/>
      <w:numFmt w:val="lowerRoman"/>
      <w:lvlText w:val="%6"/>
      <w:lvlJc w:val="left"/>
      <w:pPr>
        <w:ind w:left="396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6" w:tplc="C30E8C8A">
      <w:start w:val="1"/>
      <w:numFmt w:val="decimal"/>
      <w:lvlText w:val="%7"/>
      <w:lvlJc w:val="left"/>
      <w:pPr>
        <w:ind w:left="468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7" w:tplc="0ED8BA48">
      <w:start w:val="1"/>
      <w:numFmt w:val="lowerLetter"/>
      <w:lvlText w:val="%8"/>
      <w:lvlJc w:val="left"/>
      <w:pPr>
        <w:ind w:left="540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lvl w:ilvl="8" w:tplc="E2625C6E">
      <w:start w:val="1"/>
      <w:numFmt w:val="lowerRoman"/>
      <w:lvlText w:val="%9"/>
      <w:lvlJc w:val="left"/>
      <w:pPr>
        <w:ind w:left="6120"/>
      </w:pPr>
      <w:rPr>
        <w:rFonts w:ascii="Arial" w:eastAsia="Arial" w:hAnsi="Arial" w:cs="Arial"/>
        <w:b/>
        <w:bCs/>
        <w:i w:val="0"/>
        <w:strike w:val="0"/>
        <w:dstrike w:val="0"/>
        <w:color w:val="8B0000"/>
        <w:sz w:val="28"/>
        <w:szCs w:val="28"/>
        <w:u w:val="none" w:color="000000"/>
        <w:bdr w:val="none" w:sz="0" w:space="0" w:color="auto"/>
        <w:shd w:val="clear" w:color="auto" w:fill="auto"/>
        <w:vertAlign w:val="baseline"/>
      </w:rPr>
    </w:lvl>
  </w:abstractNum>
  <w:num w:numId="1" w16cid:durableId="1786994467">
    <w:abstractNumId w:val="0"/>
  </w:num>
  <w:num w:numId="2" w16cid:durableId="1281764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B40"/>
    <w:rsid w:val="003225E3"/>
    <w:rsid w:val="00487BCC"/>
    <w:rsid w:val="008A5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58A9"/>
  <w15:docId w15:val="{61D64BF6-BAD6-4D59-8EED-6EA38175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2"/>
      </w:numPr>
      <w:spacing w:after="212" w:line="259" w:lineRule="auto"/>
      <w:ind w:left="10" w:hanging="10"/>
      <w:outlineLvl w:val="0"/>
    </w:pPr>
    <w:rPr>
      <w:rFonts w:ascii="Arial" w:eastAsia="Arial" w:hAnsi="Arial" w:cs="Arial"/>
      <w:b/>
      <w:color w:val="8B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8B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Mayank Tyagi</cp:lastModifiedBy>
  <cp:revision>2</cp:revision>
  <dcterms:created xsi:type="dcterms:W3CDTF">2025-12-29T07:50:00Z</dcterms:created>
  <dcterms:modified xsi:type="dcterms:W3CDTF">2025-12-29T07:50:00Z</dcterms:modified>
</cp:coreProperties>
</file>