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zkszmb9w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OCR Outputs &amp; Methodology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systems were tested on the "Invoice" subset of the </w:t>
      </w:r>
      <w:r w:rsidDel="00000000" w:rsidR="00000000" w:rsidRPr="00000000">
        <w:rPr>
          <w:i w:val="1"/>
          <w:iCs w:val="1"/>
          <w:rtl w:val="0"/>
        </w:rPr>
        <w:t xml:space="preserve">OCR Dataset of Multi-type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PyTesseract:</w:t>
      </w:r>
      <w:r w:rsidDel="00000000" w:rsidR="00000000" w:rsidRPr="00000000">
        <w:rPr>
          <w:rtl w:val="0"/>
        </w:rPr>
        <w:t xml:space="preserve"> Evaluated on a subset of </w:t>
      </w:r>
      <w:r w:rsidDel="00000000" w:rsidR="00000000" w:rsidRPr="00000000">
        <w:rPr>
          <w:b w:val="1"/>
          <w:bCs w:val="1"/>
          <w:rtl w:val="0"/>
        </w:rPr>
        <w:t xml:space="preserve">50 images</w:t>
      </w:r>
      <w:r w:rsidDel="00000000" w:rsidR="00000000" w:rsidRPr="00000000">
        <w:rPr>
          <w:rtl w:val="0"/>
        </w:rPr>
        <w:t xml:space="preserve"> using four different Page Segmentation Modes (PSM): 3, 4, 6, and 11.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EasyOCR:</w:t>
      </w:r>
      <w:r w:rsidDel="00000000" w:rsidR="00000000" w:rsidRPr="00000000">
        <w:rPr>
          <w:rtl w:val="0"/>
        </w:rPr>
        <w:t xml:space="preserve"> Evaluated on </w:t>
      </w:r>
      <w:r w:rsidDel="00000000" w:rsidR="00000000" w:rsidRPr="00000000">
        <w:rPr>
          <w:b w:val="1"/>
          <w:bCs w:val="1"/>
          <w:rtl w:val="0"/>
        </w:rPr>
        <w:t xml:space="preserve">98 images</w:t>
      </w:r>
      <w:r w:rsidDel="00000000" w:rsidR="00000000" w:rsidRPr="00000000">
        <w:rPr>
          <w:rtl w:val="0"/>
        </w:rPr>
        <w:t xml:space="preserve"> using the default configuration (with GPU acceleration)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bym8c1o27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Quantitative Metrics (CER / WER)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EasyOCR outperformed PyTesseract in both Character Error Rate (CER) and Word Error Rate (WER), even when compared against PyTesseract's best-performing configuration.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7.0625328428798"/>
        <w:gridCol w:w="2483.867577509196"/>
        <w:gridCol w:w="2572.401471361009"/>
        <w:gridCol w:w="2616.6684182869153"/>
        <w:tblGridChange w:id="0">
          <w:tblGrid>
            <w:gridCol w:w="1687.0625328428798"/>
            <w:gridCol w:w="2483.867577509196"/>
            <w:gridCol w:w="2572.401471361009"/>
            <w:gridCol w:w="2616.668418286915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OCR System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CER (Lower is Better)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WER (Lower is Better)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EasyOCR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0.2192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0.5415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PSM 6 (Best Case)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0.2662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0.5924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PSM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0.3159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0.6404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PSM 3 (Default)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0.3208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0.6565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PSM 11 (Worst Case)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0.4807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0.9766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pxd4qwh1h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Qualitative Discussion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Winner: EasyOCR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EasyOCR performed better: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Architecture:</w:t>
      </w:r>
      <w:r w:rsidDel="00000000" w:rsidR="00000000" w:rsidRPr="00000000">
        <w:rPr>
          <w:rtl w:val="0"/>
        </w:rPr>
        <w:t xml:space="preserve"> EasyOCR utilizes a deep learning pipeline (typically CRAFT for detection and ResNet+LSTM+CTC for recognition). This architecture is generally more robust to the complex layouts, varying fonts, and noise when compared to Tesseract's engine.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to Layout:</w:t>
      </w:r>
      <w:r w:rsidDel="00000000" w:rsidR="00000000" w:rsidRPr="00000000">
        <w:rPr>
          <w:rtl w:val="0"/>
        </w:rPr>
        <w:t xml:space="preserve"> Invoices rarely consist of uniform blocks of text. They contain sparse information and headers.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PyTesseract's struggle</w:t>
      </w:r>
      <w:r w:rsidDel="00000000" w:rsidR="00000000" w:rsidRPr="00000000">
        <w:rPr>
          <w:rtl w:val="0"/>
        </w:rPr>
        <w:t xml:space="preserve"> is evident in the variance across PSM modes. The default mode (PSM 3) struggled (CER 0.32), likely because its layout analysis algorithms failed to correctly segment the invoice structure.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Interestingly, PyTesseract performed best with </w:t>
      </w:r>
      <w:r w:rsidDel="00000000" w:rsidR="00000000" w:rsidRPr="00000000">
        <w:rPr>
          <w:b w:val="1"/>
          <w:bCs w:val="1"/>
          <w:rtl w:val="0"/>
        </w:rPr>
        <w:t xml:space="preserve">PSM 6 (Assume a single uniform block of text)</w:t>
      </w:r>
      <w:r w:rsidDel="00000000" w:rsidR="00000000" w:rsidRPr="00000000">
        <w:rPr>
          <w:rtl w:val="0"/>
        </w:rPr>
        <w:t xml:space="preserve">. This suggests that forcing Tesseract to ignore complex layout analysis and just read the text "as is" worked better than letting it try (and fail) to understand the invoice structure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PSM 11 (Sparse text)</w:t>
      </w:r>
      <w:r w:rsidDel="00000000" w:rsidR="00000000" w:rsidRPr="00000000">
        <w:rPr>
          <w:rtl w:val="0"/>
        </w:rPr>
        <w:t xml:space="preserve">, which theoretically should suit invoices, performed the worst (CER 0.48), indicating Tesseract's specific sparse text algorithm is not optimized for this type of document noise.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For this specific Invoice dataset, </w:t>
      </w:r>
      <w:r w:rsidDel="00000000" w:rsidR="00000000" w:rsidRPr="00000000">
        <w:rPr>
          <w:b w:val="1"/>
          <w:bCs w:val="1"/>
          <w:rtl w:val="0"/>
        </w:rPr>
        <w:t xml:space="preserve">EasyOCR</w:t>
      </w:r>
      <w:r w:rsidDel="00000000" w:rsidR="00000000" w:rsidRPr="00000000">
        <w:rPr>
          <w:rtl w:val="0"/>
        </w:rPr>
        <w:t xml:space="preserve"> is the superior choice. It offers lower error rates "out of the box" without requiring the specific parameter tuning (like finding the correct PSM mode) that PyTesseract needed just to achieve a comparable (but still inferior) result.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10" w:type="first"/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b w:val="1"/>
        <w:bCs w:val="1"/>
        <w:sz w:val="60"/>
        <w:szCs w:val="60"/>
      </w:rPr>
    </w:pPr>
    <w:r w:rsidDel="00000000" w:rsidR="00000000" w:rsidRPr="00000000">
      <w:rPr>
        <w:b w:val="1"/>
        <w:bCs w:val="1"/>
        <w:sz w:val="60"/>
        <w:szCs w:val="60"/>
        <w:rtl w:val="0"/>
      </w:rPr>
      <w:t xml:space="preserve">OCRacle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