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Integers in Java are represented by the int datatype. An int will hold only whole numbers data, without decimals or fractions. </w:t>
            </w:r>
            <w:r w:rsidDel="00000000" w:rsidR="00000000" w:rsidRPr="00000000">
              <w:rPr>
                <w:rFonts w:ascii="Verdana" w:cs="Verdana" w:eastAsia="Verdana" w:hAnsi="Verdana"/>
                <w:color w:val="cccccc"/>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A datatype </w:t>
            </w:r>
            <w:r w:rsidDel="00000000" w:rsidR="00000000" w:rsidRPr="00000000">
              <w:rPr>
                <w:rFonts w:ascii="Verdana" w:cs="Verdana" w:eastAsia="Verdana" w:hAnsi="Verdana"/>
                <w:sz w:val="24"/>
                <w:szCs w:val="24"/>
                <w:rtl w:val="0"/>
              </w:rPr>
              <w:t xml:space="preserve">used to hold decimal numbers. It will hold any real number (including decimals) that you will need in this course.</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boolean datatype can only hold the values of true or false. It is used as an on/off switch in Java programs. </w:t>
            </w: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p>
          <w:p w:rsidR="00000000" w:rsidDel="00000000" w:rsidP="00000000" w:rsidRDefault="00000000" w:rsidRPr="00000000">
            <w:pPr>
              <w:contextualSpacing w:val="0"/>
            </w:pPr>
            <w:r w:rsidDel="00000000" w:rsidR="00000000" w:rsidRPr="00000000">
              <w:rPr>
                <w:rtl w:val="0"/>
              </w:rPr>
              <w:t xml:space="preserve">Variable with a fractional value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w:t>
            </w:r>
          </w:p>
          <w:p w:rsidR="00000000" w:rsidDel="00000000" w:rsidP="00000000" w:rsidRDefault="00000000" w:rsidRPr="00000000">
            <w:pPr>
              <w:contextualSpacing w:val="0"/>
            </w:pPr>
            <w:r w:rsidDel="00000000" w:rsidR="00000000" w:rsidRPr="00000000">
              <w:rPr>
                <w:sz w:val="28"/>
                <w:szCs w:val="28"/>
                <w:rtl w:val="0"/>
              </w:rPr>
              <w:t xml:space="preserve">A data type large enough to contain any member of the </w:t>
            </w:r>
            <w:r w:rsidDel="00000000" w:rsidR="00000000" w:rsidRPr="00000000">
              <w:rPr>
                <w:sz w:val="24"/>
                <w:szCs w:val="24"/>
                <w:rtl w:val="0"/>
              </w:rPr>
              <w:t xml:space="preserve">“basic execution </w:t>
            </w:r>
            <w:r w:rsidDel="00000000" w:rsidR="00000000" w:rsidRPr="00000000">
              <w:rPr>
                <w:b w:val="1"/>
                <w:sz w:val="24"/>
                <w:szCs w:val="24"/>
                <w:rtl w:val="0"/>
              </w:rPr>
              <w:t xml:space="preserve">character</w:t>
            </w:r>
            <w:r w:rsidDel="00000000" w:rsidR="00000000" w:rsidRPr="00000000">
              <w:rPr>
                <w:sz w:val="24"/>
                <w:szCs w:val="24"/>
                <w:rtl w:val="0"/>
              </w:rPr>
              <w:t xml:space="preserve"> set</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p>
          <w:p w:rsidR="00000000" w:rsidDel="00000000" w:rsidP="00000000" w:rsidRDefault="00000000" w:rsidRPr="00000000">
            <w:pPr>
              <w:contextualSpacing w:val="0"/>
            </w:pPr>
            <w:r w:rsidDel="00000000" w:rsidR="00000000" w:rsidRPr="00000000">
              <w:rPr>
                <w:sz w:val="28"/>
                <w:szCs w:val="28"/>
                <w:rtl w:val="0"/>
              </w:rPr>
              <w:t xml:space="preserve">Signed integer type that is at least 16 bits in size</w:t>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w:t>
            </w:r>
          </w:p>
          <w:p w:rsidR="00000000" w:rsidDel="00000000" w:rsidP="00000000" w:rsidRDefault="00000000" w:rsidRPr="00000000">
            <w:pPr>
              <w:contextualSpacing w:val="0"/>
            </w:pPr>
            <w:r w:rsidDel="00000000" w:rsidR="00000000" w:rsidRPr="00000000">
              <w:rPr>
                <w:sz w:val="28"/>
                <w:szCs w:val="28"/>
                <w:rtl w:val="0"/>
              </w:rPr>
              <w:t xml:space="preserve">Signed integer type that is at least 32 bits in size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