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line="240" w:lineRule="auto"/>
        <w:jc w:val="center"/>
      </w:pPr>
      <w:r>
        <w:rPr>
          <w:rFonts w:ascii="Times New Roman" w:hAnsi="Times New Roman"/>
          <w:b/>
          <w:color w:val="1F4E79"/>
          <w:sz w:val="42"/>
        </w:rPr>
        <w:t>Estimating the Intrinsic Dimension of High-Dimensional Data</w:t>
      </w:r>
    </w:p>
    <w:p>
      <w:pPr>
        <w:spacing w:before="0" w:after="480" w:line="240" w:lineRule="auto"/>
        <w:jc w:val="center"/>
      </w:pPr>
      <w:r>
        <w:rPr>
          <w:rFonts w:ascii="Times New Roman" w:hAnsi="Times New Roman"/>
          <w:i/>
          <w:color w:val="5A5A5A"/>
          <w:sz w:val="26"/>
        </w:rPr>
        <w:t>PCA, Correlation Dimension, and k-Nearest Neighbors Analysis</w:t>
      </w:r>
    </w:p>
    <w:p>
      <w:pPr>
        <w:spacing w:before="0" w:after="100" w:line="240" w:lineRule="auto"/>
        <w:jc w:val="center"/>
      </w:pPr>
      <w:r>
        <w:rPr>
          <w:rFonts w:ascii="Times New Roman" w:hAnsi="Times New Roman"/>
          <w:sz w:val="22"/>
        </w:rPr>
        <w:t>Final Submission Version</w:t>
      </w:r>
    </w:p>
    <w:p>
      <w:pPr>
        <w:spacing w:before="0" w:after="100" w:line="240" w:lineRule="auto"/>
        <w:jc w:val="center"/>
      </w:pPr>
      <w:r>
        <w:rPr>
          <w:rFonts w:ascii="Times New Roman" w:hAnsi="Times New Roman"/>
          <w:sz w:val="22"/>
        </w:rPr>
        <w:t>Automatically Generated Figure Report</w:t>
      </w:r>
    </w:p>
    <w:p>
      <w:pPr>
        <w:spacing w:before="0" w:after="100" w:line="240" w:lineRule="auto"/>
        <w:jc w:val="center"/>
      </w:pPr>
      <w:r>
        <w:rPr>
          <w:rFonts w:ascii="Times New Roman" w:hAnsi="Times New Roman"/>
          <w:sz w:val="22"/>
        </w:rPr>
        <w:t>Language: English</w:t>
      </w:r>
    </w:p>
    <w:p>
      <w:r>
        <w:br w:type="page"/>
      </w:r>
    </w:p>
    <w:p>
      <w:pPr>
        <w:pStyle w:val="Heading1"/>
      </w:pPr>
      <w:r>
        <w:t>1. Introduction</w:t>
      </w:r>
    </w:p>
    <w:p>
      <w:pPr>
        <w:spacing w:before="0" w:after="120" w:line="276" w:lineRule="auto"/>
        <w:jc w:val="both"/>
      </w:pPr>
      <w:r>
        <w:rPr>
          <w:rFonts w:ascii="Times New Roman" w:hAnsi="Times New Roman"/>
          <w:sz w:val="22"/>
        </w:rPr>
        <w:t>Intrinsic dimension refers to the minimum number of variables required to represent the underlying structure of a dataset. In many practical cases, the ambient dimension is much larger than the true number of degrees of freedom governing the data.</w:t>
      </w:r>
    </w:p>
    <w:p>
      <w:pPr>
        <w:spacing w:before="0" w:after="120" w:line="276" w:lineRule="auto"/>
        <w:jc w:val="both"/>
      </w:pPr>
      <w:r>
        <w:rPr>
          <w:rFonts w:ascii="Times New Roman" w:hAnsi="Times New Roman"/>
          <w:sz w:val="22"/>
        </w:rPr>
        <w:t>This report presents the visual results of intrinsic-dimension analysis for four datasets: a two-dimensional plane embedded in ten dimensions, the Swiss roll dataset, Gaussian noise, and MNIST handwritten digit images.</w:t>
      </w:r>
    </w:p>
    <w:p>
      <w:pPr>
        <w:spacing w:before="0" w:after="120" w:line="276" w:lineRule="auto"/>
        <w:jc w:val="both"/>
      </w:pPr>
      <w:r>
        <w:rPr>
          <w:rFonts w:ascii="Times New Roman" w:hAnsi="Times New Roman"/>
          <w:sz w:val="22"/>
        </w:rPr>
        <w:t>Three complementary estimation methods were applied. Principal component analysis (PCA) was used to examine the number of linear components required to explain most of the variance, correlation dimension was used to characterize local geometric scaling, and a k-nearest neighbors (kNN) estimator was used to provide an additional neighborhood-based estimate of intrinsic dimensionality.</w:t>
      </w:r>
    </w:p>
    <w:p>
      <w:pPr>
        <w:pStyle w:val="Heading1"/>
      </w:pPr>
      <w:r>
        <w:t>2. Methods Overview</w:t>
      </w:r>
    </w:p>
    <w:p>
      <w:pPr>
        <w:pStyle w:val="ListBullet"/>
        <w:spacing w:before="0" w:after="60" w:line="276" w:lineRule="auto"/>
        <w:jc w:val="left"/>
      </w:pPr>
      <w:r>
        <w:rPr>
          <w:rFonts w:ascii="Times New Roman" w:hAnsi="Times New Roman"/>
          <w:sz w:val="22"/>
        </w:rPr>
        <w:t>PCA was evaluated through cumulative explained variance curves and scree plots.</w:t>
      </w:r>
    </w:p>
    <w:p>
      <w:pPr>
        <w:pStyle w:val="ListBullet"/>
        <w:spacing w:before="0" w:after="60" w:line="276" w:lineRule="auto"/>
        <w:jc w:val="left"/>
      </w:pPr>
      <w:r>
        <w:rPr>
          <w:rFonts w:ascii="Times New Roman" w:hAnsi="Times New Roman"/>
          <w:sz w:val="22"/>
        </w:rPr>
        <w:t>Correlation dimension was estimated from the slope of the linear scaling region in log-log correlation-integral plots.</w:t>
      </w:r>
    </w:p>
    <w:p>
      <w:pPr>
        <w:pStyle w:val="ListBullet"/>
        <w:spacing w:before="0" w:after="60" w:line="276" w:lineRule="auto"/>
        <w:jc w:val="left"/>
      </w:pPr>
      <w:r>
        <w:rPr>
          <w:rFonts w:ascii="Times New Roman" w:hAnsi="Times New Roman"/>
          <w:sz w:val="22"/>
        </w:rPr>
        <w:t>A kNN-based Levina-Bickel maximum-likelihood estimator was used to estimate intrinsic dimension from nearest-neighbor distances.</w:t>
      </w:r>
    </w:p>
    <w:p>
      <w:pPr>
        <w:pStyle w:val="ListBullet"/>
        <w:spacing w:before="0" w:after="60" w:line="276" w:lineRule="auto"/>
        <w:jc w:val="left"/>
      </w:pPr>
      <w:r>
        <w:rPr>
          <w:rFonts w:ascii="Times New Roman" w:hAnsi="Times New Roman"/>
          <w:sz w:val="22"/>
        </w:rPr>
        <w:t>The combined analysis was designed to compare linear variance structure with intrinsic geometric complexity.</w:t>
      </w:r>
    </w:p>
    <w:p>
      <w:pPr>
        <w:pStyle w:val="Heading1"/>
      </w:pPr>
      <w:r>
        <w:t>3. Results and Figure Analysis</w:t>
      </w:r>
    </w:p>
    <w:p>
      <w:pPr>
        <w:pStyle w:val="Heading2"/>
      </w:pPr>
      <w:r>
        <w:t>3.1 2D Plane Embedded in 10D</w:t>
      </w:r>
    </w:p>
    <w:p>
      <w:pPr>
        <w:spacing w:before="0" w:after="120" w:line="276" w:lineRule="auto"/>
        <w:jc w:val="both"/>
      </w:pPr>
      <w:r>
        <w:rPr>
          <w:rFonts w:ascii="Times New Roman" w:hAnsi="Times New Roman"/>
          <w:sz w:val="22"/>
        </w:rPr>
        <w:t>This subsection summarizes the visual results obtained for the 2D Plane Embedded in 10D dataset.</w:t>
      </w:r>
    </w:p>
    <w:p>
      <w:pPr>
        <w:spacing w:before="80" w:after="40" w:line="240" w:lineRule="auto"/>
        <w:jc w:val="center"/>
      </w:pPr>
      <w:r>
        <w:drawing>
          <wp:inline xmlns:a="http://schemas.openxmlformats.org/drawingml/2006/main" xmlns:pic="http://schemas.openxmlformats.org/drawingml/2006/picture">
            <wp:extent cx="5669280" cy="3424625"/>
            <wp:docPr id="1" name="Picture 1"/>
            <wp:cNvGraphicFramePr>
              <a:graphicFrameLocks noChangeAspect="1"/>
            </wp:cNvGraphicFramePr>
            <a:graphic>
              <a:graphicData uri="http://schemas.openxmlformats.org/drawingml/2006/picture">
                <pic:pic>
                  <pic:nvPicPr>
                    <pic:cNvPr id="0" name="pca_cumulative_plane_2d_in_10d.png"/>
                    <pic:cNvPicPr/>
                  </pic:nvPicPr>
                  <pic:blipFill>
                    <a:blip r:embed="rId11"/>
                    <a:stretch>
                      <a:fillRect/>
                    </a:stretch>
                  </pic:blipFill>
                  <pic:spPr>
                    <a:xfrm>
                      <a:off x="0" y="0"/>
                      <a:ext cx="5669280" cy="3424625"/>
                    </a:xfrm>
                    <a:prstGeom prst="rect"/>
                  </pic:spPr>
                </pic:pic>
              </a:graphicData>
            </a:graphic>
          </wp:inline>
        </w:drawing>
      </w:r>
    </w:p>
    <w:p>
      <w:pPr>
        <w:spacing w:before="40" w:after="200" w:line="240" w:lineRule="auto"/>
        <w:jc w:val="center"/>
      </w:pPr>
      <w:r>
        <w:rPr>
          <w:rFonts w:ascii="Times New Roman" w:hAnsi="Times New Roman"/>
          <w:b/>
          <w:sz w:val="20"/>
        </w:rPr>
        <w:t xml:space="preserve">Figure 1. </w:t>
      </w:r>
      <w:r>
        <w:rPr>
          <w:rFonts w:ascii="Times New Roman" w:hAnsi="Times New Roman"/>
          <w:i/>
          <w:color w:val="5A5A5A"/>
          <w:sz w:val="20"/>
        </w:rPr>
        <w:t>Cumulative explained variance curve for the 2D Plane Embedded in 10D dataset.</w:t>
      </w:r>
    </w:p>
    <w:p>
      <w:pPr>
        <w:spacing w:before="0" w:after="120" w:line="276" w:lineRule="auto"/>
        <w:jc w:val="both"/>
      </w:pPr>
      <w:r>
        <w:rPr>
          <w:rFonts w:ascii="Times New Roman" w:hAnsi="Times New Roman"/>
          <w:sz w:val="22"/>
        </w:rPr>
        <w:t>The cumulative explained variance curve shows that almost all variance is captured by the first two principal components. This is exactly the expected result for a linear two-dimensional manifold embedded in a higher-dimensional ambient space.</w:t>
      </w:r>
    </w:p>
    <w:p>
      <w:pPr>
        <w:spacing w:before="0" w:after="120" w:line="276" w:lineRule="auto"/>
        <w:jc w:val="both"/>
      </w:pPr>
      <w:r>
        <w:rPr>
          <w:rFonts w:ascii="Times New Roman" w:hAnsi="Times New Roman"/>
          <w:sz w:val="22"/>
        </w:rPr>
        <w:t>The figure therefore confirms that PCA successfully recovers the known intrinsic structure of this dataset.</w:t>
      </w:r>
    </w:p>
    <w:p>
      <w:pPr>
        <w:spacing w:before="80" w:after="40" w:line="240" w:lineRule="auto"/>
        <w:jc w:val="center"/>
      </w:pPr>
      <w:r>
        <w:drawing>
          <wp:inline xmlns:a="http://schemas.openxmlformats.org/drawingml/2006/main" xmlns:pic="http://schemas.openxmlformats.org/drawingml/2006/picture">
            <wp:extent cx="5669280" cy="3426886"/>
            <wp:docPr id="2" name="Picture 2"/>
            <wp:cNvGraphicFramePr>
              <a:graphicFrameLocks noChangeAspect="1"/>
            </wp:cNvGraphicFramePr>
            <a:graphic>
              <a:graphicData uri="http://schemas.openxmlformats.org/drawingml/2006/picture">
                <pic:pic>
                  <pic:nvPicPr>
                    <pic:cNvPr id="0" name="scree_plane_2d_in_10d.png"/>
                    <pic:cNvPicPr/>
                  </pic:nvPicPr>
                  <pic:blipFill>
                    <a:blip r:embed="rId12"/>
                    <a:stretch>
                      <a:fillRect/>
                    </a:stretch>
                  </pic:blipFill>
                  <pic:spPr>
                    <a:xfrm>
                      <a:off x="0" y="0"/>
                      <a:ext cx="5669280" cy="3426886"/>
                    </a:xfrm>
                    <a:prstGeom prst="rect"/>
                  </pic:spPr>
                </pic:pic>
              </a:graphicData>
            </a:graphic>
          </wp:inline>
        </w:drawing>
      </w:r>
    </w:p>
    <w:p>
      <w:pPr>
        <w:spacing w:before="40" w:after="200" w:line="240" w:lineRule="auto"/>
        <w:jc w:val="center"/>
      </w:pPr>
      <w:r>
        <w:rPr>
          <w:rFonts w:ascii="Times New Roman" w:hAnsi="Times New Roman"/>
          <w:b/>
          <w:sz w:val="20"/>
        </w:rPr>
        <w:t xml:space="preserve">Figure 2. </w:t>
      </w:r>
      <w:r>
        <w:rPr>
          <w:rFonts w:ascii="Times New Roman" w:hAnsi="Times New Roman"/>
          <w:i/>
          <w:color w:val="5A5A5A"/>
          <w:sz w:val="20"/>
        </w:rPr>
        <w:t>Scree plot for the 2D Plane Embedded in 10D dataset.</w:t>
      </w:r>
    </w:p>
    <w:p>
      <w:pPr>
        <w:spacing w:before="0" w:after="120" w:line="276" w:lineRule="auto"/>
        <w:jc w:val="both"/>
      </w:pPr>
      <w:r>
        <w:rPr>
          <w:rFonts w:ascii="Times New Roman" w:hAnsi="Times New Roman"/>
          <w:sz w:val="22"/>
        </w:rPr>
        <w:t>The scree plot shows a clear dominance of the first two components, while the remaining components contribute essentially no meaningful variance.</w:t>
      </w:r>
    </w:p>
    <w:p>
      <w:pPr>
        <w:spacing w:before="0" w:after="120" w:line="276" w:lineRule="auto"/>
        <w:jc w:val="both"/>
      </w:pPr>
      <w:r>
        <w:rPr>
          <w:rFonts w:ascii="Times New Roman" w:hAnsi="Times New Roman"/>
          <w:sz w:val="22"/>
        </w:rPr>
        <w:t>This is the strongest possible visual indication of a low-dimensional linear structure.</w:t>
      </w:r>
    </w:p>
    <w:p>
      <w:pPr>
        <w:spacing w:before="80" w:after="40" w:line="240" w:lineRule="auto"/>
        <w:jc w:val="center"/>
      </w:pPr>
      <w:r>
        <w:drawing>
          <wp:inline xmlns:a="http://schemas.openxmlformats.org/drawingml/2006/main" xmlns:pic="http://schemas.openxmlformats.org/drawingml/2006/picture">
            <wp:extent cx="5669280" cy="3421040"/>
            <wp:docPr id="3" name="Picture 3"/>
            <wp:cNvGraphicFramePr>
              <a:graphicFrameLocks noChangeAspect="1"/>
            </wp:cNvGraphicFramePr>
            <a:graphic>
              <a:graphicData uri="http://schemas.openxmlformats.org/drawingml/2006/picture">
                <pic:pic>
                  <pic:nvPicPr>
                    <pic:cNvPr id="0" name="correlation_loglog_plane_2d_in_10d.png"/>
                    <pic:cNvPicPr/>
                  </pic:nvPicPr>
                  <pic:blipFill>
                    <a:blip r:embed="rId13"/>
                    <a:stretch>
                      <a:fillRect/>
                    </a:stretch>
                  </pic:blipFill>
                  <pic:spPr>
                    <a:xfrm>
                      <a:off x="0" y="0"/>
                      <a:ext cx="5669280" cy="3421040"/>
                    </a:xfrm>
                    <a:prstGeom prst="rect"/>
                  </pic:spPr>
                </pic:pic>
              </a:graphicData>
            </a:graphic>
          </wp:inline>
        </w:drawing>
      </w:r>
    </w:p>
    <w:p>
      <w:pPr>
        <w:spacing w:before="40" w:after="200" w:line="240" w:lineRule="auto"/>
        <w:jc w:val="center"/>
      </w:pPr>
      <w:r>
        <w:rPr>
          <w:rFonts w:ascii="Times New Roman" w:hAnsi="Times New Roman"/>
          <w:b/>
          <w:sz w:val="20"/>
        </w:rPr>
        <w:t xml:space="preserve">Figure 3. </w:t>
      </w:r>
      <w:r>
        <w:rPr>
          <w:rFonts w:ascii="Times New Roman" w:hAnsi="Times New Roman"/>
          <w:i/>
          <w:color w:val="5A5A5A"/>
          <w:sz w:val="20"/>
        </w:rPr>
        <w:t>Correlation-dimension log-log plot for the 2D Plane Embedded in 10D dataset.</w:t>
      </w:r>
    </w:p>
    <w:p>
      <w:pPr>
        <w:spacing w:before="0" w:after="120" w:line="276" w:lineRule="auto"/>
        <w:jc w:val="both"/>
      </w:pPr>
      <w:r>
        <w:rPr>
          <w:rFonts w:ascii="Times New Roman" w:hAnsi="Times New Roman"/>
          <w:sz w:val="22"/>
        </w:rPr>
        <w:t>The correlation-dimension estimate is very close to 2, which matches the theoretical intrinsic dimensionality of the dataset.</w:t>
      </w:r>
    </w:p>
    <w:p>
      <w:pPr>
        <w:spacing w:before="0" w:after="120" w:line="276" w:lineRule="auto"/>
        <w:jc w:val="both"/>
      </w:pPr>
      <w:r>
        <w:rPr>
          <w:rFonts w:ascii="Times New Roman" w:hAnsi="Times New Roman"/>
          <w:sz w:val="22"/>
        </w:rPr>
        <w:t>The agreement between PCA and correlation dimension validates both the dataset construction and the analysis workflow.</w:t>
      </w:r>
    </w:p>
    <w:p>
      <w:pPr>
        <w:spacing w:before="80" w:after="40" w:line="240" w:lineRule="auto"/>
        <w:jc w:val="center"/>
      </w:pPr>
      <w:r>
        <w:drawing>
          <wp:inline xmlns:a="http://schemas.openxmlformats.org/drawingml/2006/main" xmlns:pic="http://schemas.openxmlformats.org/drawingml/2006/picture">
            <wp:extent cx="5669280" cy="3424155"/>
            <wp:docPr id="4" name="Picture 4"/>
            <wp:cNvGraphicFramePr>
              <a:graphicFrameLocks noChangeAspect="1"/>
            </wp:cNvGraphicFramePr>
            <a:graphic>
              <a:graphicData uri="http://schemas.openxmlformats.org/drawingml/2006/picture">
                <pic:pic>
                  <pic:nvPicPr>
                    <pic:cNvPr id="0" name="knn_sensitivity_plane_2d_in_10d.png"/>
                    <pic:cNvPicPr/>
                  </pic:nvPicPr>
                  <pic:blipFill>
                    <a:blip r:embed="rId14"/>
                    <a:stretch>
                      <a:fillRect/>
                    </a:stretch>
                  </pic:blipFill>
                  <pic:spPr>
                    <a:xfrm>
                      <a:off x="0" y="0"/>
                      <a:ext cx="5669280" cy="3424155"/>
                    </a:xfrm>
                    <a:prstGeom prst="rect"/>
                  </pic:spPr>
                </pic:pic>
              </a:graphicData>
            </a:graphic>
          </wp:inline>
        </w:drawing>
      </w:r>
    </w:p>
    <w:p>
      <w:pPr>
        <w:spacing w:before="40" w:after="200" w:line="240" w:lineRule="auto"/>
        <w:jc w:val="center"/>
      </w:pPr>
      <w:r>
        <w:rPr>
          <w:rFonts w:ascii="Times New Roman" w:hAnsi="Times New Roman"/>
          <w:b/>
          <w:sz w:val="20"/>
        </w:rPr>
        <w:t xml:space="preserve">Figure 4. </w:t>
      </w:r>
      <w:r>
        <w:rPr>
          <w:rFonts w:ascii="Times New Roman" w:hAnsi="Times New Roman"/>
          <w:i/>
          <w:color w:val="5A5A5A"/>
          <w:sz w:val="20"/>
        </w:rPr>
        <w:t>kNN sensitivity analysis for the 2D Plane Embedded in 10D dataset across multiple values of k.</w:t>
      </w:r>
    </w:p>
    <w:p>
      <w:pPr>
        <w:spacing w:before="0" w:after="120" w:line="276" w:lineRule="auto"/>
        <w:jc w:val="both"/>
      </w:pPr>
      <w:r>
        <w:rPr>
          <w:rFonts w:ascii="Times New Roman" w:hAnsi="Times New Roman"/>
          <w:sz w:val="22"/>
        </w:rPr>
        <w:t>The kNN sensitivity plot shows that the estimated intrinsic dimension remains close to 2 over the full tested range of neighborhood sizes.</w:t>
      </w:r>
    </w:p>
    <w:p>
      <w:pPr>
        <w:spacing w:before="0" w:after="120" w:line="276" w:lineRule="auto"/>
        <w:jc w:val="both"/>
      </w:pPr>
      <w:r>
        <w:rPr>
          <w:rFonts w:ascii="Times New Roman" w:hAnsi="Times New Roman"/>
          <w:sz w:val="22"/>
        </w:rPr>
        <w:t>This provides further support for the conclusion that the dataset is intrinsically two-dimensional and that the estimate is stable.</w:t>
      </w:r>
    </w:p>
    <w:p>
      <w:pPr>
        <w:pStyle w:val="Heading2"/>
      </w:pPr>
      <w:r>
        <w:t>3.2 Swiss Roll</w:t>
      </w:r>
    </w:p>
    <w:p>
      <w:pPr>
        <w:spacing w:before="0" w:after="120" w:line="276" w:lineRule="auto"/>
        <w:jc w:val="both"/>
      </w:pPr>
      <w:r>
        <w:rPr>
          <w:rFonts w:ascii="Times New Roman" w:hAnsi="Times New Roman"/>
          <w:sz w:val="22"/>
        </w:rPr>
        <w:t>This subsection summarizes the visual results obtained for the Swiss Roll dataset.</w:t>
      </w:r>
    </w:p>
    <w:p>
      <w:pPr>
        <w:spacing w:before="80" w:after="40" w:line="240" w:lineRule="auto"/>
        <w:jc w:val="center"/>
      </w:pPr>
      <w:r>
        <w:drawing>
          <wp:inline xmlns:a="http://schemas.openxmlformats.org/drawingml/2006/main" xmlns:pic="http://schemas.openxmlformats.org/drawingml/2006/picture">
            <wp:extent cx="5669280" cy="3488611"/>
            <wp:docPr id="5" name="Picture 5"/>
            <wp:cNvGraphicFramePr>
              <a:graphicFrameLocks noChangeAspect="1"/>
            </wp:cNvGraphicFramePr>
            <a:graphic>
              <a:graphicData uri="http://schemas.openxmlformats.org/drawingml/2006/picture">
                <pic:pic>
                  <pic:nvPicPr>
                    <pic:cNvPr id="0" name="pca_cumulative_swiss_roll.png"/>
                    <pic:cNvPicPr/>
                  </pic:nvPicPr>
                  <pic:blipFill>
                    <a:blip r:embed="rId15"/>
                    <a:stretch>
                      <a:fillRect/>
                    </a:stretch>
                  </pic:blipFill>
                  <pic:spPr>
                    <a:xfrm>
                      <a:off x="0" y="0"/>
                      <a:ext cx="5669280" cy="3488611"/>
                    </a:xfrm>
                    <a:prstGeom prst="rect"/>
                  </pic:spPr>
                </pic:pic>
              </a:graphicData>
            </a:graphic>
          </wp:inline>
        </w:drawing>
      </w:r>
    </w:p>
    <w:p>
      <w:pPr>
        <w:spacing w:before="40" w:after="200" w:line="240" w:lineRule="auto"/>
        <w:jc w:val="center"/>
      </w:pPr>
      <w:r>
        <w:rPr>
          <w:rFonts w:ascii="Times New Roman" w:hAnsi="Times New Roman"/>
          <w:b/>
          <w:sz w:val="20"/>
        </w:rPr>
        <w:t xml:space="preserve">Figure 5. </w:t>
      </w:r>
      <w:r>
        <w:rPr>
          <w:rFonts w:ascii="Times New Roman" w:hAnsi="Times New Roman"/>
          <w:i/>
          <w:color w:val="5A5A5A"/>
          <w:sz w:val="20"/>
        </w:rPr>
        <w:t>Cumulative explained variance curve for the Swiss Roll dataset.</w:t>
      </w:r>
    </w:p>
    <w:p>
      <w:pPr>
        <w:spacing w:before="0" w:after="120" w:line="276" w:lineRule="auto"/>
        <w:jc w:val="both"/>
      </w:pPr>
      <w:r>
        <w:rPr>
          <w:rFonts w:ascii="Times New Roman" w:hAnsi="Times New Roman"/>
          <w:sz w:val="22"/>
        </w:rPr>
        <w:t>The cumulative explained variance plot indicates that multiple principal components are required to preserve most of the variance.</w:t>
      </w:r>
    </w:p>
    <w:p>
      <w:pPr>
        <w:spacing w:before="0" w:after="120" w:line="276" w:lineRule="auto"/>
        <w:jc w:val="both"/>
      </w:pPr>
      <w:r>
        <w:rPr>
          <w:rFonts w:ascii="Times New Roman" w:hAnsi="Times New Roman"/>
          <w:sz w:val="22"/>
        </w:rPr>
        <w:t>This occurs because the Swiss roll is intrinsically two-dimensional but geometrically curved, and PCA is limited to linear directions.</w:t>
      </w:r>
    </w:p>
    <w:p>
      <w:pPr>
        <w:spacing w:before="80" w:after="40" w:line="240" w:lineRule="auto"/>
        <w:jc w:val="center"/>
      </w:pPr>
      <w:r>
        <w:drawing>
          <wp:inline xmlns:a="http://schemas.openxmlformats.org/drawingml/2006/main" xmlns:pic="http://schemas.openxmlformats.org/drawingml/2006/picture">
            <wp:extent cx="5669280" cy="3426886"/>
            <wp:docPr id="6" name="Picture 6"/>
            <wp:cNvGraphicFramePr>
              <a:graphicFrameLocks noChangeAspect="1"/>
            </wp:cNvGraphicFramePr>
            <a:graphic>
              <a:graphicData uri="http://schemas.openxmlformats.org/drawingml/2006/picture">
                <pic:pic>
                  <pic:nvPicPr>
                    <pic:cNvPr id="0" name="scree_swiss_roll.png"/>
                    <pic:cNvPicPr/>
                  </pic:nvPicPr>
                  <pic:blipFill>
                    <a:blip r:embed="rId16"/>
                    <a:stretch>
                      <a:fillRect/>
                    </a:stretch>
                  </pic:blipFill>
                  <pic:spPr>
                    <a:xfrm>
                      <a:off x="0" y="0"/>
                      <a:ext cx="5669280" cy="3426886"/>
                    </a:xfrm>
                    <a:prstGeom prst="rect"/>
                  </pic:spPr>
                </pic:pic>
              </a:graphicData>
            </a:graphic>
          </wp:inline>
        </w:drawing>
      </w:r>
    </w:p>
    <w:p>
      <w:pPr>
        <w:spacing w:before="40" w:after="200" w:line="240" w:lineRule="auto"/>
        <w:jc w:val="center"/>
      </w:pPr>
      <w:r>
        <w:rPr>
          <w:rFonts w:ascii="Times New Roman" w:hAnsi="Times New Roman"/>
          <w:b/>
          <w:sz w:val="20"/>
        </w:rPr>
        <w:t xml:space="preserve">Figure 6. </w:t>
      </w:r>
      <w:r>
        <w:rPr>
          <w:rFonts w:ascii="Times New Roman" w:hAnsi="Times New Roman"/>
          <w:i/>
          <w:color w:val="5A5A5A"/>
          <w:sz w:val="20"/>
        </w:rPr>
        <w:t>Scree plot for the Swiss Roll dataset.</w:t>
      </w:r>
    </w:p>
    <w:p>
      <w:pPr>
        <w:spacing w:before="0" w:after="120" w:line="276" w:lineRule="auto"/>
        <w:jc w:val="both"/>
      </w:pPr>
      <w:r>
        <w:rPr>
          <w:rFonts w:ascii="Times New Roman" w:hAnsi="Times New Roman"/>
          <w:sz w:val="22"/>
        </w:rPr>
        <w:t>The scree plot does not collapse sharply after the first two components, which reflects the nonlinear geometry of the manifold.</w:t>
      </w:r>
    </w:p>
    <w:p>
      <w:pPr>
        <w:spacing w:before="0" w:after="120" w:line="276" w:lineRule="auto"/>
        <w:jc w:val="both"/>
      </w:pPr>
      <w:r>
        <w:rPr>
          <w:rFonts w:ascii="Times New Roman" w:hAnsi="Times New Roman"/>
          <w:sz w:val="22"/>
        </w:rPr>
        <w:t>This behavior is expected when a curved low-dimensional structure is analyzed using a linear projection method.</w:t>
      </w:r>
    </w:p>
    <w:p>
      <w:pPr>
        <w:spacing w:before="80" w:after="40" w:line="240" w:lineRule="auto"/>
        <w:jc w:val="center"/>
      </w:pPr>
      <w:r>
        <w:drawing>
          <wp:inline xmlns:a="http://schemas.openxmlformats.org/drawingml/2006/main" xmlns:pic="http://schemas.openxmlformats.org/drawingml/2006/picture">
            <wp:extent cx="5669280" cy="3421040"/>
            <wp:docPr id="7" name="Picture 7"/>
            <wp:cNvGraphicFramePr>
              <a:graphicFrameLocks noChangeAspect="1"/>
            </wp:cNvGraphicFramePr>
            <a:graphic>
              <a:graphicData uri="http://schemas.openxmlformats.org/drawingml/2006/picture">
                <pic:pic>
                  <pic:nvPicPr>
                    <pic:cNvPr id="0" name="correlation_loglog_swiss_roll.png"/>
                    <pic:cNvPicPr/>
                  </pic:nvPicPr>
                  <pic:blipFill>
                    <a:blip r:embed="rId17"/>
                    <a:stretch>
                      <a:fillRect/>
                    </a:stretch>
                  </pic:blipFill>
                  <pic:spPr>
                    <a:xfrm>
                      <a:off x="0" y="0"/>
                      <a:ext cx="5669280" cy="3421040"/>
                    </a:xfrm>
                    <a:prstGeom prst="rect"/>
                  </pic:spPr>
                </pic:pic>
              </a:graphicData>
            </a:graphic>
          </wp:inline>
        </w:drawing>
      </w:r>
    </w:p>
    <w:p>
      <w:pPr>
        <w:spacing w:before="40" w:after="200" w:line="240" w:lineRule="auto"/>
        <w:jc w:val="center"/>
      </w:pPr>
      <w:r>
        <w:rPr>
          <w:rFonts w:ascii="Times New Roman" w:hAnsi="Times New Roman"/>
          <w:b/>
          <w:sz w:val="20"/>
        </w:rPr>
        <w:t xml:space="preserve">Figure 7. </w:t>
      </w:r>
      <w:r>
        <w:rPr>
          <w:rFonts w:ascii="Times New Roman" w:hAnsi="Times New Roman"/>
          <w:i/>
          <w:color w:val="5A5A5A"/>
          <w:sz w:val="20"/>
        </w:rPr>
        <w:t>Correlation-dimension log-log plot for the Swiss Roll dataset.</w:t>
      </w:r>
    </w:p>
    <w:p>
      <w:pPr>
        <w:spacing w:before="0" w:after="120" w:line="276" w:lineRule="auto"/>
        <w:jc w:val="both"/>
      </w:pPr>
      <w:r>
        <w:rPr>
          <w:rFonts w:ascii="Times New Roman" w:hAnsi="Times New Roman"/>
          <w:sz w:val="22"/>
        </w:rPr>
        <w:t>The correlation-dimension estimate remains close to 2, which is much more faithful to the true intrinsic structure of the Swiss roll.</w:t>
      </w:r>
    </w:p>
    <w:p>
      <w:pPr>
        <w:spacing w:before="0" w:after="120" w:line="276" w:lineRule="auto"/>
        <w:jc w:val="both"/>
      </w:pPr>
      <w:r>
        <w:rPr>
          <w:rFonts w:ascii="Times New Roman" w:hAnsi="Times New Roman"/>
          <w:sz w:val="22"/>
        </w:rPr>
        <w:t>This dataset therefore illustrates why geometric methods are especially valuable for nonlinear manifolds.</w:t>
      </w:r>
    </w:p>
    <w:p>
      <w:pPr>
        <w:spacing w:before="80" w:after="40" w:line="240" w:lineRule="auto"/>
        <w:jc w:val="center"/>
      </w:pPr>
      <w:r>
        <w:drawing>
          <wp:inline xmlns:a="http://schemas.openxmlformats.org/drawingml/2006/main" xmlns:pic="http://schemas.openxmlformats.org/drawingml/2006/picture">
            <wp:extent cx="5669280" cy="3424155"/>
            <wp:docPr id="8" name="Picture 8"/>
            <wp:cNvGraphicFramePr>
              <a:graphicFrameLocks noChangeAspect="1"/>
            </wp:cNvGraphicFramePr>
            <a:graphic>
              <a:graphicData uri="http://schemas.openxmlformats.org/drawingml/2006/picture">
                <pic:pic>
                  <pic:nvPicPr>
                    <pic:cNvPr id="0" name="knn_sensitivity_swiss_roll.png"/>
                    <pic:cNvPicPr/>
                  </pic:nvPicPr>
                  <pic:blipFill>
                    <a:blip r:embed="rId18"/>
                    <a:stretch>
                      <a:fillRect/>
                    </a:stretch>
                  </pic:blipFill>
                  <pic:spPr>
                    <a:xfrm>
                      <a:off x="0" y="0"/>
                      <a:ext cx="5669280" cy="3424155"/>
                    </a:xfrm>
                    <a:prstGeom prst="rect"/>
                  </pic:spPr>
                </pic:pic>
              </a:graphicData>
            </a:graphic>
          </wp:inline>
        </w:drawing>
      </w:r>
    </w:p>
    <w:p>
      <w:pPr>
        <w:spacing w:before="40" w:after="200" w:line="240" w:lineRule="auto"/>
        <w:jc w:val="center"/>
      </w:pPr>
      <w:r>
        <w:rPr>
          <w:rFonts w:ascii="Times New Roman" w:hAnsi="Times New Roman"/>
          <w:b/>
          <w:sz w:val="20"/>
        </w:rPr>
        <w:t xml:space="preserve">Figure 8. </w:t>
      </w:r>
      <w:r>
        <w:rPr>
          <w:rFonts w:ascii="Times New Roman" w:hAnsi="Times New Roman"/>
          <w:i/>
          <w:color w:val="5A5A5A"/>
          <w:sz w:val="20"/>
        </w:rPr>
        <w:t>kNN sensitivity analysis for the Swiss Roll dataset across multiple values of k.</w:t>
      </w:r>
    </w:p>
    <w:p>
      <w:pPr>
        <w:spacing w:before="0" w:after="120" w:line="276" w:lineRule="auto"/>
        <w:jc w:val="both"/>
      </w:pPr>
      <w:r>
        <w:rPr>
          <w:rFonts w:ascii="Times New Roman" w:hAnsi="Times New Roman"/>
          <w:sz w:val="22"/>
        </w:rPr>
        <w:t>The kNN-based estimates remain close to 2 for all tested values of k, indicating strong stability.</w:t>
      </w:r>
    </w:p>
    <w:p>
      <w:pPr>
        <w:spacing w:before="0" w:after="120" w:line="276" w:lineRule="auto"/>
        <w:jc w:val="both"/>
      </w:pPr>
      <w:r>
        <w:rPr>
          <w:rFonts w:ascii="Times New Roman" w:hAnsi="Times New Roman"/>
          <w:sz w:val="22"/>
        </w:rPr>
        <w:t>Together with the correlation-dimension result, this confirms that the Swiss roll is intrinsically low-dimensional despite its nonlinear embedding.</w:t>
      </w:r>
    </w:p>
    <w:p>
      <w:pPr>
        <w:pStyle w:val="Heading2"/>
      </w:pPr>
      <w:r>
        <w:t>3.3 Gaussian Noise</w:t>
      </w:r>
    </w:p>
    <w:p>
      <w:pPr>
        <w:spacing w:before="0" w:after="120" w:line="276" w:lineRule="auto"/>
        <w:jc w:val="both"/>
      </w:pPr>
      <w:r>
        <w:rPr>
          <w:rFonts w:ascii="Times New Roman" w:hAnsi="Times New Roman"/>
          <w:sz w:val="22"/>
        </w:rPr>
        <w:t>This subsection summarizes the visual results obtained for the Gaussian Noise dataset.</w:t>
      </w:r>
    </w:p>
    <w:p>
      <w:pPr>
        <w:spacing w:before="80" w:after="40" w:line="240" w:lineRule="auto"/>
        <w:jc w:val="center"/>
      </w:pPr>
      <w:r>
        <w:drawing>
          <wp:inline xmlns:a="http://schemas.openxmlformats.org/drawingml/2006/main" xmlns:pic="http://schemas.openxmlformats.org/drawingml/2006/picture">
            <wp:extent cx="5669280" cy="3424625"/>
            <wp:docPr id="9" name="Picture 9"/>
            <wp:cNvGraphicFramePr>
              <a:graphicFrameLocks noChangeAspect="1"/>
            </wp:cNvGraphicFramePr>
            <a:graphic>
              <a:graphicData uri="http://schemas.openxmlformats.org/drawingml/2006/picture">
                <pic:pic>
                  <pic:nvPicPr>
                    <pic:cNvPr id="0" name="pca_cumulative_gaussian_noise.png"/>
                    <pic:cNvPicPr/>
                  </pic:nvPicPr>
                  <pic:blipFill>
                    <a:blip r:embed="rId19"/>
                    <a:stretch>
                      <a:fillRect/>
                    </a:stretch>
                  </pic:blipFill>
                  <pic:spPr>
                    <a:xfrm>
                      <a:off x="0" y="0"/>
                      <a:ext cx="5669280" cy="3424625"/>
                    </a:xfrm>
                    <a:prstGeom prst="rect"/>
                  </pic:spPr>
                </pic:pic>
              </a:graphicData>
            </a:graphic>
          </wp:inline>
        </w:drawing>
      </w:r>
    </w:p>
    <w:p>
      <w:pPr>
        <w:spacing w:before="40" w:after="200" w:line="240" w:lineRule="auto"/>
        <w:jc w:val="center"/>
      </w:pPr>
      <w:r>
        <w:rPr>
          <w:rFonts w:ascii="Times New Roman" w:hAnsi="Times New Roman"/>
          <w:b/>
          <w:sz w:val="20"/>
        </w:rPr>
        <w:t xml:space="preserve">Figure 9. </w:t>
      </w:r>
      <w:r>
        <w:rPr>
          <w:rFonts w:ascii="Times New Roman" w:hAnsi="Times New Roman"/>
          <w:i/>
          <w:color w:val="5A5A5A"/>
          <w:sz w:val="20"/>
        </w:rPr>
        <w:t>Cumulative explained variance curve for the Gaussian Noise dataset.</w:t>
      </w:r>
    </w:p>
    <w:p>
      <w:pPr>
        <w:spacing w:before="0" w:after="120" w:line="276" w:lineRule="auto"/>
        <w:jc w:val="both"/>
      </w:pPr>
      <w:r>
        <w:rPr>
          <w:rFonts w:ascii="Times New Roman" w:hAnsi="Times New Roman"/>
          <w:sz w:val="22"/>
        </w:rPr>
        <w:t>The cumulative explained variance increases gradually rather than sharply, indicating that variance is distributed across many directions.</w:t>
      </w:r>
    </w:p>
    <w:p>
      <w:pPr>
        <w:spacing w:before="0" w:after="120" w:line="276" w:lineRule="auto"/>
        <w:jc w:val="both"/>
      </w:pPr>
      <w:r>
        <w:rPr>
          <w:rFonts w:ascii="Times New Roman" w:hAnsi="Times New Roman"/>
          <w:sz w:val="22"/>
        </w:rPr>
        <w:t>This is the expected pattern for isotropic high-dimensional noise without a compact low-dimensional linear subspace.</w:t>
      </w:r>
    </w:p>
    <w:p>
      <w:pPr>
        <w:spacing w:before="80" w:after="40" w:line="240" w:lineRule="auto"/>
        <w:jc w:val="center"/>
      </w:pPr>
      <w:r>
        <w:drawing>
          <wp:inline xmlns:a="http://schemas.openxmlformats.org/drawingml/2006/main" xmlns:pic="http://schemas.openxmlformats.org/drawingml/2006/picture">
            <wp:extent cx="5669280" cy="3425520"/>
            <wp:docPr id="10" name="Picture 10"/>
            <wp:cNvGraphicFramePr>
              <a:graphicFrameLocks noChangeAspect="1"/>
            </wp:cNvGraphicFramePr>
            <a:graphic>
              <a:graphicData uri="http://schemas.openxmlformats.org/drawingml/2006/picture">
                <pic:pic>
                  <pic:nvPicPr>
                    <pic:cNvPr id="0" name="scree_gaussian_noise.png"/>
                    <pic:cNvPicPr/>
                  </pic:nvPicPr>
                  <pic:blipFill>
                    <a:blip r:embed="rId20"/>
                    <a:stretch>
                      <a:fillRect/>
                    </a:stretch>
                  </pic:blipFill>
                  <pic:spPr>
                    <a:xfrm>
                      <a:off x="0" y="0"/>
                      <a:ext cx="5669280" cy="3425520"/>
                    </a:xfrm>
                    <a:prstGeom prst="rect"/>
                  </pic:spPr>
                </pic:pic>
              </a:graphicData>
            </a:graphic>
          </wp:inline>
        </w:drawing>
      </w:r>
    </w:p>
    <w:p>
      <w:pPr>
        <w:spacing w:before="40" w:after="200" w:line="240" w:lineRule="auto"/>
        <w:jc w:val="center"/>
      </w:pPr>
      <w:r>
        <w:rPr>
          <w:rFonts w:ascii="Times New Roman" w:hAnsi="Times New Roman"/>
          <w:b/>
          <w:sz w:val="20"/>
        </w:rPr>
        <w:t xml:space="preserve">Figure 10. </w:t>
      </w:r>
      <w:r>
        <w:rPr>
          <w:rFonts w:ascii="Times New Roman" w:hAnsi="Times New Roman"/>
          <w:i/>
          <w:color w:val="5A5A5A"/>
          <w:sz w:val="20"/>
        </w:rPr>
        <w:t>Scree plot for the Gaussian Noise dataset.</w:t>
      </w:r>
    </w:p>
    <w:p>
      <w:pPr>
        <w:spacing w:before="0" w:after="120" w:line="276" w:lineRule="auto"/>
        <w:jc w:val="both"/>
      </w:pPr>
      <w:r>
        <w:rPr>
          <w:rFonts w:ascii="Times New Roman" w:hAnsi="Times New Roman"/>
          <w:sz w:val="22"/>
        </w:rPr>
        <w:t>The scree plot shows no pronounced elbow and no small subset of components that dominates the variance structure.</w:t>
      </w:r>
    </w:p>
    <w:p>
      <w:pPr>
        <w:spacing w:before="0" w:after="120" w:line="276" w:lineRule="auto"/>
        <w:jc w:val="both"/>
      </w:pPr>
      <w:r>
        <w:rPr>
          <w:rFonts w:ascii="Times New Roman" w:hAnsi="Times New Roman"/>
          <w:sz w:val="22"/>
        </w:rPr>
        <w:t>This confirms the absence of a strong linear low-dimensional representation.</w:t>
      </w:r>
    </w:p>
    <w:p>
      <w:pPr>
        <w:spacing w:before="80" w:after="40" w:line="240" w:lineRule="auto"/>
        <w:jc w:val="center"/>
      </w:pPr>
      <w:r>
        <w:drawing>
          <wp:inline xmlns:a="http://schemas.openxmlformats.org/drawingml/2006/main" xmlns:pic="http://schemas.openxmlformats.org/drawingml/2006/picture">
            <wp:extent cx="5669280" cy="3421040"/>
            <wp:docPr id="11" name="Picture 11"/>
            <wp:cNvGraphicFramePr>
              <a:graphicFrameLocks noChangeAspect="1"/>
            </wp:cNvGraphicFramePr>
            <a:graphic>
              <a:graphicData uri="http://schemas.openxmlformats.org/drawingml/2006/picture">
                <pic:pic>
                  <pic:nvPicPr>
                    <pic:cNvPr id="0" name="correlation_loglog_gaussian_noise.png"/>
                    <pic:cNvPicPr/>
                  </pic:nvPicPr>
                  <pic:blipFill>
                    <a:blip r:embed="rId21"/>
                    <a:stretch>
                      <a:fillRect/>
                    </a:stretch>
                  </pic:blipFill>
                  <pic:spPr>
                    <a:xfrm>
                      <a:off x="0" y="0"/>
                      <a:ext cx="5669280" cy="3421040"/>
                    </a:xfrm>
                    <a:prstGeom prst="rect"/>
                  </pic:spPr>
                </pic:pic>
              </a:graphicData>
            </a:graphic>
          </wp:inline>
        </w:drawing>
      </w:r>
    </w:p>
    <w:p>
      <w:pPr>
        <w:spacing w:before="40" w:after="200" w:line="240" w:lineRule="auto"/>
        <w:jc w:val="center"/>
      </w:pPr>
      <w:r>
        <w:rPr>
          <w:rFonts w:ascii="Times New Roman" w:hAnsi="Times New Roman"/>
          <w:b/>
          <w:sz w:val="20"/>
        </w:rPr>
        <w:t xml:space="preserve">Figure 11. </w:t>
      </w:r>
      <w:r>
        <w:rPr>
          <w:rFonts w:ascii="Times New Roman" w:hAnsi="Times New Roman"/>
          <w:i/>
          <w:color w:val="5A5A5A"/>
          <w:sz w:val="20"/>
        </w:rPr>
        <w:t>Correlation-dimension log-log plot for the Gaussian Noise dataset.</w:t>
      </w:r>
    </w:p>
    <w:p>
      <w:pPr>
        <w:spacing w:before="0" w:after="120" w:line="276" w:lineRule="auto"/>
        <w:jc w:val="both"/>
      </w:pPr>
      <w:r>
        <w:rPr>
          <w:rFonts w:ascii="Times New Roman" w:hAnsi="Times New Roman"/>
          <w:sz w:val="22"/>
        </w:rPr>
        <w:t>The correlation-dimension estimate is comparatively high, which is consistent with the noise-like nature of the data.</w:t>
      </w:r>
    </w:p>
    <w:p>
      <w:pPr>
        <w:spacing w:before="0" w:after="120" w:line="276" w:lineRule="auto"/>
        <w:jc w:val="both"/>
      </w:pPr>
      <w:r>
        <w:rPr>
          <w:rFonts w:ascii="Times New Roman" w:hAnsi="Times New Roman"/>
          <w:sz w:val="22"/>
        </w:rPr>
        <w:t>Together, the PCA and correlation results distinguish Gaussian noise clearly from the more structured datasets.</w:t>
      </w:r>
    </w:p>
    <w:p>
      <w:pPr>
        <w:spacing w:before="80" w:after="40" w:line="240" w:lineRule="auto"/>
        <w:jc w:val="center"/>
      </w:pPr>
      <w:r>
        <w:drawing>
          <wp:inline xmlns:a="http://schemas.openxmlformats.org/drawingml/2006/main" xmlns:pic="http://schemas.openxmlformats.org/drawingml/2006/picture">
            <wp:extent cx="5669280" cy="3424155"/>
            <wp:docPr id="12" name="Picture 12"/>
            <wp:cNvGraphicFramePr>
              <a:graphicFrameLocks noChangeAspect="1"/>
            </wp:cNvGraphicFramePr>
            <a:graphic>
              <a:graphicData uri="http://schemas.openxmlformats.org/drawingml/2006/picture">
                <pic:pic>
                  <pic:nvPicPr>
                    <pic:cNvPr id="0" name="knn_sensitivity_gaussian_noise.png"/>
                    <pic:cNvPicPr/>
                  </pic:nvPicPr>
                  <pic:blipFill>
                    <a:blip r:embed="rId22"/>
                    <a:stretch>
                      <a:fillRect/>
                    </a:stretch>
                  </pic:blipFill>
                  <pic:spPr>
                    <a:xfrm>
                      <a:off x="0" y="0"/>
                      <a:ext cx="5669280" cy="3424155"/>
                    </a:xfrm>
                    <a:prstGeom prst="rect"/>
                  </pic:spPr>
                </pic:pic>
              </a:graphicData>
            </a:graphic>
          </wp:inline>
        </w:drawing>
      </w:r>
    </w:p>
    <w:p>
      <w:pPr>
        <w:spacing w:before="40" w:after="200" w:line="240" w:lineRule="auto"/>
        <w:jc w:val="center"/>
      </w:pPr>
      <w:r>
        <w:rPr>
          <w:rFonts w:ascii="Times New Roman" w:hAnsi="Times New Roman"/>
          <w:b/>
          <w:sz w:val="20"/>
        </w:rPr>
        <w:t xml:space="preserve">Figure 12. </w:t>
      </w:r>
      <w:r>
        <w:rPr>
          <w:rFonts w:ascii="Times New Roman" w:hAnsi="Times New Roman"/>
          <w:i/>
          <w:color w:val="5A5A5A"/>
          <w:sz w:val="20"/>
        </w:rPr>
        <w:t>kNN sensitivity analysis for the Gaussian Noise dataset across multiple values of k.</w:t>
      </w:r>
    </w:p>
    <w:p>
      <w:pPr>
        <w:spacing w:before="0" w:after="120" w:line="276" w:lineRule="auto"/>
        <w:jc w:val="both"/>
      </w:pPr>
      <w:r>
        <w:rPr>
          <w:rFonts w:ascii="Times New Roman" w:hAnsi="Times New Roman"/>
          <w:sz w:val="22"/>
        </w:rPr>
        <w:t>The kNN sensitivity plot remains in a high-dimensional regime across all tested values of k, although the estimates vary more than in the low-dimensional synthetic datasets.</w:t>
      </w:r>
    </w:p>
    <w:p>
      <w:pPr>
        <w:spacing w:before="0" w:after="120" w:line="276" w:lineRule="auto"/>
        <w:jc w:val="both"/>
      </w:pPr>
      <w:r>
        <w:rPr>
          <w:rFonts w:ascii="Times New Roman" w:hAnsi="Times New Roman"/>
          <w:sz w:val="22"/>
        </w:rPr>
        <w:t>This moderate variability is expected for a dataset that does not lie on a sharply defined low-dimensional manifold.</w:t>
      </w:r>
    </w:p>
    <w:p>
      <w:pPr>
        <w:pStyle w:val="Heading2"/>
      </w:pPr>
      <w:r>
        <w:t>3.4 MNIST</w:t>
      </w:r>
    </w:p>
    <w:p>
      <w:pPr>
        <w:spacing w:before="0" w:after="120" w:line="276" w:lineRule="auto"/>
        <w:jc w:val="both"/>
      </w:pPr>
      <w:r>
        <w:rPr>
          <w:rFonts w:ascii="Times New Roman" w:hAnsi="Times New Roman"/>
          <w:sz w:val="22"/>
        </w:rPr>
        <w:t>This subsection summarizes the visual results obtained for the MNIST dataset.</w:t>
      </w:r>
    </w:p>
    <w:p>
      <w:pPr>
        <w:spacing w:before="80" w:after="40" w:line="240" w:lineRule="auto"/>
        <w:jc w:val="center"/>
      </w:pPr>
      <w:r>
        <w:drawing>
          <wp:inline xmlns:a="http://schemas.openxmlformats.org/drawingml/2006/main" xmlns:pic="http://schemas.openxmlformats.org/drawingml/2006/picture">
            <wp:extent cx="5669280" cy="3424625"/>
            <wp:docPr id="13" name="Picture 13"/>
            <wp:cNvGraphicFramePr>
              <a:graphicFrameLocks noChangeAspect="1"/>
            </wp:cNvGraphicFramePr>
            <a:graphic>
              <a:graphicData uri="http://schemas.openxmlformats.org/drawingml/2006/picture">
                <pic:pic>
                  <pic:nvPicPr>
                    <pic:cNvPr id="0" name="pca_cumulative_mnist.png"/>
                    <pic:cNvPicPr/>
                  </pic:nvPicPr>
                  <pic:blipFill>
                    <a:blip r:embed="rId23"/>
                    <a:stretch>
                      <a:fillRect/>
                    </a:stretch>
                  </pic:blipFill>
                  <pic:spPr>
                    <a:xfrm>
                      <a:off x="0" y="0"/>
                      <a:ext cx="5669280" cy="3424625"/>
                    </a:xfrm>
                    <a:prstGeom prst="rect"/>
                  </pic:spPr>
                </pic:pic>
              </a:graphicData>
            </a:graphic>
          </wp:inline>
        </w:drawing>
      </w:r>
    </w:p>
    <w:p>
      <w:pPr>
        <w:spacing w:before="40" w:after="200" w:line="240" w:lineRule="auto"/>
        <w:jc w:val="center"/>
      </w:pPr>
      <w:r>
        <w:rPr>
          <w:rFonts w:ascii="Times New Roman" w:hAnsi="Times New Roman"/>
          <w:b/>
          <w:sz w:val="20"/>
        </w:rPr>
        <w:t xml:space="preserve">Figure 13. </w:t>
      </w:r>
      <w:r>
        <w:rPr>
          <w:rFonts w:ascii="Times New Roman" w:hAnsi="Times New Roman"/>
          <w:i/>
          <w:color w:val="5A5A5A"/>
          <w:sz w:val="20"/>
        </w:rPr>
        <w:t>Cumulative explained variance curve for the MNIST dataset.</w:t>
      </w:r>
    </w:p>
    <w:p>
      <w:pPr>
        <w:spacing w:before="0" w:after="120" w:line="276" w:lineRule="auto"/>
        <w:jc w:val="both"/>
      </w:pPr>
      <w:r>
        <w:rPr>
          <w:rFonts w:ascii="Times New Roman" w:hAnsi="Times New Roman"/>
          <w:sz w:val="22"/>
        </w:rPr>
        <w:t>The cumulative explained variance curve shows that a very large number of principal components are required to preserve 90%, 95%, and 99% of the total variance.</w:t>
      </w:r>
    </w:p>
    <w:p>
      <w:pPr>
        <w:spacing w:before="0" w:after="120" w:line="276" w:lineRule="auto"/>
        <w:jc w:val="both"/>
      </w:pPr>
      <w:r>
        <w:rPr>
          <w:rFonts w:ascii="Times New Roman" w:hAnsi="Times New Roman"/>
          <w:sz w:val="22"/>
        </w:rPr>
        <w:t>This reflects the fact that image variability in pixel space is distributed across many linear directions.</w:t>
      </w:r>
    </w:p>
    <w:p>
      <w:pPr>
        <w:spacing w:before="80" w:after="40" w:line="240" w:lineRule="auto"/>
        <w:jc w:val="center"/>
      </w:pPr>
      <w:r>
        <w:drawing>
          <wp:inline xmlns:a="http://schemas.openxmlformats.org/drawingml/2006/main" xmlns:pic="http://schemas.openxmlformats.org/drawingml/2006/picture">
            <wp:extent cx="5669280" cy="3418741"/>
            <wp:docPr id="14" name="Picture 14"/>
            <wp:cNvGraphicFramePr>
              <a:graphicFrameLocks noChangeAspect="1"/>
            </wp:cNvGraphicFramePr>
            <a:graphic>
              <a:graphicData uri="http://schemas.openxmlformats.org/drawingml/2006/picture">
                <pic:pic>
                  <pic:nvPicPr>
                    <pic:cNvPr id="0" name="scree_mnist.png"/>
                    <pic:cNvPicPr/>
                  </pic:nvPicPr>
                  <pic:blipFill>
                    <a:blip r:embed="rId24"/>
                    <a:stretch>
                      <a:fillRect/>
                    </a:stretch>
                  </pic:blipFill>
                  <pic:spPr>
                    <a:xfrm>
                      <a:off x="0" y="0"/>
                      <a:ext cx="5669280" cy="3418741"/>
                    </a:xfrm>
                    <a:prstGeom prst="rect"/>
                  </pic:spPr>
                </pic:pic>
              </a:graphicData>
            </a:graphic>
          </wp:inline>
        </w:drawing>
      </w:r>
    </w:p>
    <w:p>
      <w:pPr>
        <w:spacing w:before="40" w:after="200" w:line="240" w:lineRule="auto"/>
        <w:jc w:val="center"/>
      </w:pPr>
      <w:r>
        <w:rPr>
          <w:rFonts w:ascii="Times New Roman" w:hAnsi="Times New Roman"/>
          <w:b/>
          <w:sz w:val="20"/>
        </w:rPr>
        <w:t xml:space="preserve">Figure 14. </w:t>
      </w:r>
      <w:r>
        <w:rPr>
          <w:rFonts w:ascii="Times New Roman" w:hAnsi="Times New Roman"/>
          <w:i/>
          <w:color w:val="5A5A5A"/>
          <w:sz w:val="20"/>
        </w:rPr>
        <w:t>Scree plot for the MNIST dataset.</w:t>
      </w:r>
    </w:p>
    <w:p>
      <w:pPr>
        <w:spacing w:before="0" w:after="120" w:line="276" w:lineRule="auto"/>
        <w:jc w:val="both"/>
      </w:pPr>
      <w:r>
        <w:rPr>
          <w:rFonts w:ascii="Times New Roman" w:hAnsi="Times New Roman"/>
          <w:sz w:val="22"/>
        </w:rPr>
        <w:t>The scree plot decays gradually, indicating that many components contain non-negligible information.</w:t>
      </w:r>
    </w:p>
    <w:p>
      <w:pPr>
        <w:spacing w:before="0" w:after="120" w:line="276" w:lineRule="auto"/>
        <w:jc w:val="both"/>
      </w:pPr>
      <w:r>
        <w:rPr>
          <w:rFonts w:ascii="Times New Roman" w:hAnsi="Times New Roman"/>
          <w:sz w:val="22"/>
        </w:rPr>
        <w:t>Such behavior is typical for structured image datasets with rich variability in writing style, thickness, curvature, and placement.</w:t>
      </w:r>
    </w:p>
    <w:p>
      <w:pPr>
        <w:spacing w:before="80" w:after="40" w:line="240" w:lineRule="auto"/>
        <w:jc w:val="center"/>
      </w:pPr>
      <w:r>
        <w:drawing>
          <wp:inline xmlns:a="http://schemas.openxmlformats.org/drawingml/2006/main" xmlns:pic="http://schemas.openxmlformats.org/drawingml/2006/picture">
            <wp:extent cx="5669280" cy="3421040"/>
            <wp:docPr id="15" name="Picture 15"/>
            <wp:cNvGraphicFramePr>
              <a:graphicFrameLocks noChangeAspect="1"/>
            </wp:cNvGraphicFramePr>
            <a:graphic>
              <a:graphicData uri="http://schemas.openxmlformats.org/drawingml/2006/picture">
                <pic:pic>
                  <pic:nvPicPr>
                    <pic:cNvPr id="0" name="correlation_loglog_mnist.png"/>
                    <pic:cNvPicPr/>
                  </pic:nvPicPr>
                  <pic:blipFill>
                    <a:blip r:embed="rId25"/>
                    <a:stretch>
                      <a:fillRect/>
                    </a:stretch>
                  </pic:blipFill>
                  <pic:spPr>
                    <a:xfrm>
                      <a:off x="0" y="0"/>
                      <a:ext cx="5669280" cy="3421040"/>
                    </a:xfrm>
                    <a:prstGeom prst="rect"/>
                  </pic:spPr>
                </pic:pic>
              </a:graphicData>
            </a:graphic>
          </wp:inline>
        </w:drawing>
      </w:r>
    </w:p>
    <w:p>
      <w:pPr>
        <w:spacing w:before="40" w:after="200" w:line="240" w:lineRule="auto"/>
        <w:jc w:val="center"/>
      </w:pPr>
      <w:r>
        <w:rPr>
          <w:rFonts w:ascii="Times New Roman" w:hAnsi="Times New Roman"/>
          <w:b/>
          <w:sz w:val="20"/>
        </w:rPr>
        <w:t xml:space="preserve">Figure 15. </w:t>
      </w:r>
      <w:r>
        <w:rPr>
          <w:rFonts w:ascii="Times New Roman" w:hAnsi="Times New Roman"/>
          <w:i/>
          <w:color w:val="5A5A5A"/>
          <w:sz w:val="20"/>
        </w:rPr>
        <w:t>Correlation-dimension log-log plot for the MNIST dataset.</w:t>
      </w:r>
    </w:p>
    <w:p>
      <w:pPr>
        <w:spacing w:before="0" w:after="120" w:line="276" w:lineRule="auto"/>
        <w:jc w:val="both"/>
      </w:pPr>
      <w:r>
        <w:rPr>
          <w:rFonts w:ascii="Times New Roman" w:hAnsi="Times New Roman"/>
          <w:sz w:val="22"/>
        </w:rPr>
        <w:t>The correlation-dimension estimate is much lower than the number of PCA components required for high variance retention.</w:t>
      </w:r>
    </w:p>
    <w:p>
      <w:pPr>
        <w:spacing w:before="0" w:after="120" w:line="276" w:lineRule="auto"/>
        <w:jc w:val="both"/>
      </w:pPr>
      <w:r>
        <w:rPr>
          <w:rFonts w:ascii="Times New Roman" w:hAnsi="Times New Roman"/>
          <w:sz w:val="22"/>
        </w:rPr>
        <w:t>This gap suggests that MNIST occupies a structured nonlinear region of the ambient space rather than a diffuse cloud filling the full pixel space.</w:t>
      </w:r>
    </w:p>
    <w:p>
      <w:pPr>
        <w:spacing w:before="80" w:after="40" w:line="240" w:lineRule="auto"/>
        <w:jc w:val="center"/>
      </w:pPr>
      <w:r>
        <w:drawing>
          <wp:inline xmlns:a="http://schemas.openxmlformats.org/drawingml/2006/main" xmlns:pic="http://schemas.openxmlformats.org/drawingml/2006/picture">
            <wp:extent cx="5669280" cy="3424155"/>
            <wp:docPr id="16" name="Picture 16"/>
            <wp:cNvGraphicFramePr>
              <a:graphicFrameLocks noChangeAspect="1"/>
            </wp:cNvGraphicFramePr>
            <a:graphic>
              <a:graphicData uri="http://schemas.openxmlformats.org/drawingml/2006/picture">
                <pic:pic>
                  <pic:nvPicPr>
                    <pic:cNvPr id="0" name="knn_sensitivity_mnist.png"/>
                    <pic:cNvPicPr/>
                  </pic:nvPicPr>
                  <pic:blipFill>
                    <a:blip r:embed="rId26"/>
                    <a:stretch>
                      <a:fillRect/>
                    </a:stretch>
                  </pic:blipFill>
                  <pic:spPr>
                    <a:xfrm>
                      <a:off x="0" y="0"/>
                      <a:ext cx="5669280" cy="3424155"/>
                    </a:xfrm>
                    <a:prstGeom prst="rect"/>
                  </pic:spPr>
                </pic:pic>
              </a:graphicData>
            </a:graphic>
          </wp:inline>
        </w:drawing>
      </w:r>
    </w:p>
    <w:p>
      <w:pPr>
        <w:spacing w:before="40" w:after="200" w:line="240" w:lineRule="auto"/>
        <w:jc w:val="center"/>
      </w:pPr>
      <w:r>
        <w:rPr>
          <w:rFonts w:ascii="Times New Roman" w:hAnsi="Times New Roman"/>
          <w:b/>
          <w:sz w:val="20"/>
        </w:rPr>
        <w:t xml:space="preserve">Figure 16. </w:t>
      </w:r>
      <w:r>
        <w:rPr>
          <w:rFonts w:ascii="Times New Roman" w:hAnsi="Times New Roman"/>
          <w:i/>
          <w:color w:val="5A5A5A"/>
          <w:sz w:val="20"/>
        </w:rPr>
        <w:t>kNN sensitivity analysis for the MNIST dataset across multiple values of k.</w:t>
      </w:r>
    </w:p>
    <w:p>
      <w:pPr>
        <w:spacing w:before="0" w:after="120" w:line="276" w:lineRule="auto"/>
        <w:jc w:val="both"/>
      </w:pPr>
      <w:r>
        <w:rPr>
          <w:rFonts w:ascii="Times New Roman" w:hAnsi="Times New Roman"/>
          <w:sz w:val="22"/>
        </w:rPr>
        <w:t>The kNN sensitivity analysis produces estimates in the high-teen range and shows good stability across the tested neighborhood sizes.</w:t>
      </w:r>
    </w:p>
    <w:p>
      <w:pPr>
        <w:spacing w:before="0" w:after="120" w:line="276" w:lineRule="auto"/>
        <w:jc w:val="both"/>
      </w:pPr>
      <w:r>
        <w:rPr>
          <w:rFonts w:ascii="Times New Roman" w:hAnsi="Times New Roman"/>
          <w:sz w:val="22"/>
        </w:rPr>
        <w:t>The kNN estimate lies between the PCA-based and correlation-dimension estimates, which supports the interpretation that MNIST has a structured yet moderately complex intrinsic geometry.</w:t>
      </w:r>
    </w:p>
    <w:p>
      <w:pPr>
        <w:pStyle w:val="Heading1"/>
      </w:pPr>
      <w:r>
        <w:t>4. k-Nearest Neighbors Based Intrinsic Dimension Estimation</w:t>
      </w:r>
    </w:p>
    <w:p>
      <w:pPr>
        <w:spacing w:before="0" w:after="120" w:line="276" w:lineRule="auto"/>
        <w:jc w:val="both"/>
      </w:pPr>
      <w:r>
        <w:rPr>
          <w:rFonts w:ascii="Times New Roman" w:hAnsi="Times New Roman"/>
          <w:sz w:val="22"/>
        </w:rPr>
        <w:t>To complement the PCA-based analysis and the correlation-dimension approach, a third estimator based on k-nearest neighbors was applied. This method provides an additional local geometric perspective on intrinsic dimensionality and does not rely on global linear projections.</w:t>
      </w:r>
    </w:p>
    <w:p>
      <w:pPr>
        <w:spacing w:before="0" w:after="120" w:line="276" w:lineRule="auto"/>
        <w:jc w:val="both"/>
      </w:pPr>
      <w:r>
        <w:rPr>
          <w:rFonts w:ascii="Times New Roman" w:hAnsi="Times New Roman"/>
          <w:sz w:val="22"/>
        </w:rPr>
        <w:t>In this project, intrinsic dimension was estimated using the Levina-Bickel maximum-likelihood estimator. For each point, the estimator uses the distances to its nearest neighbors and computes a local estimate of intrinsic dimension. These local estimates are then aggregated across the dataset to obtain a global estimate.</w:t>
      </w:r>
    </w:p>
    <w:p>
      <w:pPr>
        <w:spacing w:before="0" w:after="120" w:line="276" w:lineRule="auto"/>
        <w:jc w:val="both"/>
      </w:pPr>
      <w:r>
        <w:rPr>
          <w:rFonts w:ascii="Times New Roman" w:hAnsi="Times New Roman"/>
          <w:sz w:val="22"/>
        </w:rPr>
        <w:t>The same preprocessing pipeline used in the rest of the project was applied before the kNN analysis. Constant features were removed, the data were standardized, and no additional normalization was applied. For MNIST, the estimator was computed on a random sample of 1000 observations in order to maintain computational efficiency.</w:t>
      </w:r>
    </w:p>
    <w:p>
      <w:pPr>
        <w:spacing w:before="0" w:after="120" w:line="276" w:lineRule="auto"/>
        <w:jc w:val="both"/>
      </w:pPr>
      <w:r>
        <w:rPr>
          <w:rFonts w:ascii="Times New Roman" w:hAnsi="Times New Roman"/>
          <w:sz w:val="22"/>
        </w:rPr>
        <w:t>A headline estimate was computed with k=10, and a sensitivity analysis was performed over the range k in {5, 8, 10, 12, 15, 20}. This made it possible to evaluate the stability of the estimator with respect to neighborhood size.</w:t>
      </w:r>
    </w:p>
    <w:p>
      <w:pPr>
        <w:pStyle w:val="Heading2"/>
      </w:pPr>
      <w:r>
        <w:t>4.1 kNN Summary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b/>
                <w:sz w:val="20"/>
              </w:rPr>
              <w:t>Dataset</w:t>
            </w:r>
          </w:p>
        </w:tc>
        <w:tc>
          <w:tcPr>
            <w:tcW w:type="dxa" w:w="1560"/>
            <w:vAlign w:val="center"/>
          </w:tcPr>
          <w:p>
            <w:pPr>
              <w:jc w:val="center"/>
            </w:pPr>
            <w:r>
              <w:rPr>
                <w:rFonts w:ascii="Times New Roman" w:hAnsi="Times New Roman"/>
                <w:b/>
                <w:sz w:val="20"/>
              </w:rPr>
              <w:t>Samples Used</w:t>
            </w:r>
          </w:p>
        </w:tc>
        <w:tc>
          <w:tcPr>
            <w:tcW w:type="dxa" w:w="1560"/>
            <w:vAlign w:val="center"/>
          </w:tcPr>
          <w:p>
            <w:pPr>
              <w:jc w:val="center"/>
            </w:pPr>
            <w:r>
              <w:rPr>
                <w:rFonts w:ascii="Times New Roman" w:hAnsi="Times New Roman"/>
                <w:b/>
                <w:sz w:val="20"/>
              </w:rPr>
              <w:t>Processed Dimension</w:t>
            </w:r>
          </w:p>
        </w:tc>
        <w:tc>
          <w:tcPr>
            <w:tcW w:type="dxa" w:w="1560"/>
            <w:vAlign w:val="center"/>
          </w:tcPr>
          <w:p>
            <w:pPr>
              <w:jc w:val="center"/>
            </w:pPr>
            <w:r>
              <w:rPr>
                <w:rFonts w:ascii="Times New Roman" w:hAnsi="Times New Roman"/>
                <w:b/>
                <w:sz w:val="20"/>
              </w:rPr>
              <w:t>kNN Estimate (k=10)</w:t>
            </w:r>
          </w:p>
        </w:tc>
        <w:tc>
          <w:tcPr>
            <w:tcW w:type="dxa" w:w="1560"/>
            <w:vAlign w:val="center"/>
          </w:tcPr>
          <w:p>
            <w:pPr>
              <w:jc w:val="center"/>
            </w:pPr>
            <w:r>
              <w:rPr>
                <w:rFonts w:ascii="Times New Roman" w:hAnsi="Times New Roman"/>
                <w:b/>
                <w:sz w:val="20"/>
              </w:rPr>
              <w:t>Mean Across k</w:t>
            </w:r>
          </w:p>
        </w:tc>
        <w:tc>
          <w:tcPr>
            <w:tcW w:type="dxa" w:w="1560"/>
            <w:vAlign w:val="center"/>
          </w:tcPr>
          <w:p>
            <w:pPr>
              <w:jc w:val="center"/>
            </w:pPr>
            <w:r>
              <w:rPr>
                <w:rFonts w:ascii="Times New Roman" w:hAnsi="Times New Roman"/>
                <w:b/>
                <w:sz w:val="20"/>
              </w:rPr>
              <w:t>Std. Across k</w:t>
            </w:r>
          </w:p>
        </w:tc>
      </w:tr>
      <w:tr>
        <w:tc>
          <w:tcPr>
            <w:tcW w:type="dxa" w:w="1560"/>
            <w:vAlign w:val="center"/>
          </w:tcPr>
          <w:p>
            <w:pPr>
              <w:spacing w:before="0" w:after="40" w:line="252" w:lineRule="auto"/>
              <w:jc w:val="left"/>
            </w:pPr>
            <w:r>
              <w:rPr>
                <w:rFonts w:ascii="Times New Roman" w:hAnsi="Times New Roman"/>
                <w:sz w:val="20"/>
              </w:rPr>
              <w:t>MNIST (sampled)</w:t>
            </w:r>
          </w:p>
        </w:tc>
        <w:tc>
          <w:tcPr>
            <w:tcW w:type="dxa" w:w="1560"/>
            <w:vAlign w:val="center"/>
          </w:tcPr>
          <w:p>
            <w:pPr>
              <w:spacing w:before="0" w:after="40" w:line="252" w:lineRule="auto"/>
              <w:jc w:val="left"/>
            </w:pPr>
            <w:r>
              <w:rPr>
                <w:rFonts w:ascii="Times New Roman" w:hAnsi="Times New Roman"/>
                <w:sz w:val="20"/>
              </w:rPr>
              <w:t>1000</w:t>
            </w:r>
          </w:p>
        </w:tc>
        <w:tc>
          <w:tcPr>
            <w:tcW w:type="dxa" w:w="1560"/>
            <w:vAlign w:val="center"/>
          </w:tcPr>
          <w:p>
            <w:pPr>
              <w:spacing w:before="0" w:after="40" w:line="252" w:lineRule="auto"/>
              <w:jc w:val="left"/>
            </w:pPr>
            <w:r>
              <w:rPr>
                <w:rFonts w:ascii="Times New Roman" w:hAnsi="Times New Roman"/>
                <w:sz w:val="20"/>
              </w:rPr>
              <w:t>599</w:t>
            </w:r>
          </w:p>
        </w:tc>
        <w:tc>
          <w:tcPr>
            <w:tcW w:type="dxa" w:w="1560"/>
            <w:vAlign w:val="center"/>
          </w:tcPr>
          <w:p>
            <w:pPr>
              <w:spacing w:before="0" w:after="40" w:line="252" w:lineRule="auto"/>
              <w:jc w:val="left"/>
            </w:pPr>
            <w:r>
              <w:rPr>
                <w:rFonts w:ascii="Times New Roman" w:hAnsi="Times New Roman"/>
                <w:sz w:val="20"/>
              </w:rPr>
              <w:t>16.71</w:t>
            </w:r>
          </w:p>
        </w:tc>
        <w:tc>
          <w:tcPr>
            <w:tcW w:type="dxa" w:w="1560"/>
            <w:vAlign w:val="center"/>
          </w:tcPr>
          <w:p>
            <w:pPr>
              <w:spacing w:before="0" w:after="40" w:line="252" w:lineRule="auto"/>
              <w:jc w:val="left"/>
            </w:pPr>
            <w:r>
              <w:rPr>
                <w:rFonts w:ascii="Times New Roman" w:hAnsi="Times New Roman"/>
                <w:sz w:val="20"/>
              </w:rPr>
              <w:t>17.23</w:t>
            </w:r>
          </w:p>
        </w:tc>
        <w:tc>
          <w:tcPr>
            <w:tcW w:type="dxa" w:w="1560"/>
            <w:vAlign w:val="center"/>
          </w:tcPr>
          <w:p>
            <w:pPr>
              <w:spacing w:before="0" w:after="40" w:line="252" w:lineRule="auto"/>
              <w:jc w:val="left"/>
            </w:pPr>
            <w:r>
              <w:rPr>
                <w:rFonts w:ascii="Times New Roman" w:hAnsi="Times New Roman"/>
                <w:sz w:val="20"/>
              </w:rPr>
              <w:t>0.83</w:t>
            </w:r>
          </w:p>
        </w:tc>
      </w:tr>
      <w:tr>
        <w:tc>
          <w:tcPr>
            <w:tcW w:type="dxa" w:w="1560"/>
            <w:vAlign w:val="center"/>
          </w:tcPr>
          <w:p>
            <w:pPr>
              <w:spacing w:before="0" w:after="40" w:line="252" w:lineRule="auto"/>
              <w:jc w:val="left"/>
            </w:pPr>
            <w:r>
              <w:rPr>
                <w:rFonts w:ascii="Times New Roman" w:hAnsi="Times New Roman"/>
                <w:sz w:val="20"/>
              </w:rPr>
              <w:t>Gaussian Noise</w:t>
            </w:r>
          </w:p>
        </w:tc>
        <w:tc>
          <w:tcPr>
            <w:tcW w:type="dxa" w:w="1560"/>
            <w:vAlign w:val="center"/>
          </w:tcPr>
          <w:p>
            <w:pPr>
              <w:spacing w:before="0" w:after="40" w:line="252" w:lineRule="auto"/>
              <w:jc w:val="left"/>
            </w:pPr>
            <w:r>
              <w:rPr>
                <w:rFonts w:ascii="Times New Roman" w:hAnsi="Times New Roman"/>
                <w:sz w:val="20"/>
              </w:rPr>
              <w:t>2000</w:t>
            </w:r>
          </w:p>
        </w:tc>
        <w:tc>
          <w:tcPr>
            <w:tcW w:type="dxa" w:w="1560"/>
            <w:vAlign w:val="center"/>
          </w:tcPr>
          <w:p>
            <w:pPr>
              <w:spacing w:before="0" w:after="40" w:line="252" w:lineRule="auto"/>
              <w:jc w:val="left"/>
            </w:pPr>
            <w:r>
              <w:rPr>
                <w:rFonts w:ascii="Times New Roman" w:hAnsi="Times New Roman"/>
                <w:sz w:val="20"/>
              </w:rPr>
              <w:t>20</w:t>
            </w:r>
          </w:p>
        </w:tc>
        <w:tc>
          <w:tcPr>
            <w:tcW w:type="dxa" w:w="1560"/>
            <w:vAlign w:val="center"/>
          </w:tcPr>
          <w:p>
            <w:pPr>
              <w:spacing w:before="0" w:after="40" w:line="252" w:lineRule="auto"/>
              <w:jc w:val="left"/>
            </w:pPr>
            <w:r>
              <w:rPr>
                <w:rFonts w:ascii="Times New Roman" w:hAnsi="Times New Roman"/>
                <w:sz w:val="20"/>
              </w:rPr>
              <w:t>17.68</w:t>
            </w:r>
          </w:p>
        </w:tc>
        <w:tc>
          <w:tcPr>
            <w:tcW w:type="dxa" w:w="1560"/>
            <w:vAlign w:val="center"/>
          </w:tcPr>
          <w:p>
            <w:pPr>
              <w:spacing w:before="0" w:after="40" w:line="252" w:lineRule="auto"/>
              <w:jc w:val="left"/>
            </w:pPr>
            <w:r>
              <w:rPr>
                <w:rFonts w:ascii="Times New Roman" w:hAnsi="Times New Roman"/>
                <w:sz w:val="20"/>
              </w:rPr>
              <w:t>17.89</w:t>
            </w:r>
          </w:p>
        </w:tc>
        <w:tc>
          <w:tcPr>
            <w:tcW w:type="dxa" w:w="1560"/>
            <w:vAlign w:val="center"/>
          </w:tcPr>
          <w:p>
            <w:pPr>
              <w:spacing w:before="0" w:after="40" w:line="252" w:lineRule="auto"/>
              <w:jc w:val="left"/>
            </w:pPr>
            <w:r>
              <w:rPr>
                <w:rFonts w:ascii="Times New Roman" w:hAnsi="Times New Roman"/>
                <w:sz w:val="20"/>
              </w:rPr>
              <w:t>1.73</w:t>
            </w:r>
          </w:p>
        </w:tc>
      </w:tr>
      <w:tr>
        <w:tc>
          <w:tcPr>
            <w:tcW w:type="dxa" w:w="1560"/>
            <w:vAlign w:val="center"/>
          </w:tcPr>
          <w:p>
            <w:pPr>
              <w:spacing w:before="0" w:after="40" w:line="252" w:lineRule="auto"/>
              <w:jc w:val="left"/>
            </w:pPr>
            <w:r>
              <w:rPr>
                <w:rFonts w:ascii="Times New Roman" w:hAnsi="Times New Roman"/>
                <w:sz w:val="20"/>
              </w:rPr>
              <w:t>2D Plane Embedded in 10D</w:t>
            </w:r>
          </w:p>
        </w:tc>
        <w:tc>
          <w:tcPr>
            <w:tcW w:type="dxa" w:w="1560"/>
            <w:vAlign w:val="center"/>
          </w:tcPr>
          <w:p>
            <w:pPr>
              <w:spacing w:before="0" w:after="40" w:line="252" w:lineRule="auto"/>
              <w:jc w:val="left"/>
            </w:pPr>
            <w:r>
              <w:rPr>
                <w:rFonts w:ascii="Times New Roman" w:hAnsi="Times New Roman"/>
                <w:sz w:val="20"/>
              </w:rPr>
              <w:t>2000</w:t>
            </w:r>
          </w:p>
        </w:tc>
        <w:tc>
          <w:tcPr>
            <w:tcW w:type="dxa" w:w="1560"/>
            <w:vAlign w:val="center"/>
          </w:tcPr>
          <w:p>
            <w:pPr>
              <w:spacing w:before="0" w:after="40" w:line="252" w:lineRule="auto"/>
              <w:jc w:val="left"/>
            </w:pPr>
            <w:r>
              <w:rPr>
                <w:rFonts w:ascii="Times New Roman" w:hAnsi="Times New Roman"/>
                <w:sz w:val="20"/>
              </w:rPr>
              <w:t>10</w:t>
            </w:r>
          </w:p>
        </w:tc>
        <w:tc>
          <w:tcPr>
            <w:tcW w:type="dxa" w:w="1560"/>
            <w:vAlign w:val="center"/>
          </w:tcPr>
          <w:p>
            <w:pPr>
              <w:spacing w:before="0" w:after="40" w:line="252" w:lineRule="auto"/>
              <w:jc w:val="left"/>
            </w:pPr>
            <w:r>
              <w:rPr>
                <w:rFonts w:ascii="Times New Roman" w:hAnsi="Times New Roman"/>
                <w:sz w:val="20"/>
              </w:rPr>
              <w:t>2.22</w:t>
            </w:r>
          </w:p>
        </w:tc>
        <w:tc>
          <w:tcPr>
            <w:tcW w:type="dxa" w:w="1560"/>
            <w:vAlign w:val="center"/>
          </w:tcPr>
          <w:p>
            <w:pPr>
              <w:spacing w:before="0" w:after="40" w:line="252" w:lineRule="auto"/>
              <w:jc w:val="left"/>
            </w:pPr>
            <w:r>
              <w:rPr>
                <w:rFonts w:ascii="Times New Roman" w:hAnsi="Times New Roman"/>
                <w:sz w:val="20"/>
              </w:rPr>
              <w:t>2.25</w:t>
            </w:r>
          </w:p>
        </w:tc>
        <w:tc>
          <w:tcPr>
            <w:tcW w:type="dxa" w:w="1560"/>
            <w:vAlign w:val="center"/>
          </w:tcPr>
          <w:p>
            <w:pPr>
              <w:spacing w:before="0" w:after="40" w:line="252" w:lineRule="auto"/>
              <w:jc w:val="left"/>
            </w:pPr>
            <w:r>
              <w:rPr>
                <w:rFonts w:ascii="Times New Roman" w:hAnsi="Times New Roman"/>
                <w:sz w:val="20"/>
              </w:rPr>
              <w:t>0.18</w:t>
            </w:r>
          </w:p>
        </w:tc>
      </w:tr>
      <w:tr>
        <w:tc>
          <w:tcPr>
            <w:tcW w:type="dxa" w:w="1560"/>
            <w:vAlign w:val="center"/>
          </w:tcPr>
          <w:p>
            <w:pPr>
              <w:spacing w:before="0" w:after="40" w:line="252" w:lineRule="auto"/>
              <w:jc w:val="left"/>
            </w:pPr>
            <w:r>
              <w:rPr>
                <w:rFonts w:ascii="Times New Roman" w:hAnsi="Times New Roman"/>
                <w:sz w:val="20"/>
              </w:rPr>
              <w:t>Swiss Roll</w:t>
            </w:r>
          </w:p>
        </w:tc>
        <w:tc>
          <w:tcPr>
            <w:tcW w:type="dxa" w:w="1560"/>
            <w:vAlign w:val="center"/>
          </w:tcPr>
          <w:p>
            <w:pPr>
              <w:spacing w:before="0" w:after="40" w:line="252" w:lineRule="auto"/>
              <w:jc w:val="left"/>
            </w:pPr>
            <w:r>
              <w:rPr>
                <w:rFonts w:ascii="Times New Roman" w:hAnsi="Times New Roman"/>
                <w:sz w:val="20"/>
              </w:rPr>
              <w:t>2000</w:t>
            </w:r>
          </w:p>
        </w:tc>
        <w:tc>
          <w:tcPr>
            <w:tcW w:type="dxa" w:w="1560"/>
            <w:vAlign w:val="center"/>
          </w:tcPr>
          <w:p>
            <w:pPr>
              <w:spacing w:before="0" w:after="40" w:line="252" w:lineRule="auto"/>
              <w:jc w:val="left"/>
            </w:pPr>
            <w:r>
              <w:rPr>
                <w:rFonts w:ascii="Times New Roman" w:hAnsi="Times New Roman"/>
                <w:sz w:val="20"/>
              </w:rPr>
              <w:t>3</w:t>
            </w:r>
          </w:p>
        </w:tc>
        <w:tc>
          <w:tcPr>
            <w:tcW w:type="dxa" w:w="1560"/>
            <w:vAlign w:val="center"/>
          </w:tcPr>
          <w:p>
            <w:pPr>
              <w:spacing w:before="0" w:after="40" w:line="252" w:lineRule="auto"/>
              <w:jc w:val="left"/>
            </w:pPr>
            <w:r>
              <w:rPr>
                <w:rFonts w:ascii="Times New Roman" w:hAnsi="Times New Roman"/>
                <w:sz w:val="20"/>
              </w:rPr>
              <w:t>2.19</w:t>
            </w:r>
          </w:p>
        </w:tc>
        <w:tc>
          <w:tcPr>
            <w:tcW w:type="dxa" w:w="1560"/>
            <w:vAlign w:val="center"/>
          </w:tcPr>
          <w:p>
            <w:pPr>
              <w:spacing w:before="0" w:after="40" w:line="252" w:lineRule="auto"/>
              <w:jc w:val="left"/>
            </w:pPr>
            <w:r>
              <w:rPr>
                <w:rFonts w:ascii="Times New Roman" w:hAnsi="Times New Roman"/>
                <w:sz w:val="20"/>
              </w:rPr>
              <w:t>2.24</w:t>
            </w:r>
          </w:p>
        </w:tc>
        <w:tc>
          <w:tcPr>
            <w:tcW w:type="dxa" w:w="1560"/>
            <w:vAlign w:val="center"/>
          </w:tcPr>
          <w:p>
            <w:pPr>
              <w:spacing w:before="0" w:after="40" w:line="252" w:lineRule="auto"/>
              <w:jc w:val="left"/>
            </w:pPr>
            <w:r>
              <w:rPr>
                <w:rFonts w:ascii="Times New Roman" w:hAnsi="Times New Roman"/>
                <w:sz w:val="20"/>
              </w:rPr>
              <w:t>0.19</w:t>
            </w:r>
          </w:p>
        </w:tc>
      </w:tr>
    </w:tbl>
    <w:p/>
    <w:p>
      <w:pPr>
        <w:spacing w:before="0" w:after="120" w:line="276" w:lineRule="auto"/>
        <w:jc w:val="both"/>
      </w:pPr>
      <w:r>
        <w:rPr>
          <w:rFonts w:ascii="Times New Roman" w:hAnsi="Times New Roman"/>
          <w:sz w:val="22"/>
        </w:rPr>
        <w:t>The kNN-based results are highly consistent with the overall interpretation of the datasets. For the 2D plane embedded in 10D and for the Swiss roll dataset, the kNN estimates were both very close to 2, which strongly supports the conclusion that both datasets are intrinsically two-dimensional despite differences in their global geometry.</w:t>
      </w:r>
    </w:p>
    <w:p>
      <w:pPr>
        <w:spacing w:before="0" w:after="120" w:line="276" w:lineRule="auto"/>
        <w:jc w:val="both"/>
      </w:pPr>
      <w:r>
        <w:rPr>
          <w:rFonts w:ascii="Times New Roman" w:hAnsi="Times New Roman"/>
          <w:sz w:val="22"/>
        </w:rPr>
        <w:t>For Gaussian noise, the kNN estimate remained high, which is fully consistent with the absence of a compact low-dimensional manifold. For MNIST, the estimate was much lower than the ambient dimension but substantially larger than for the simple synthetic manifolds, indicating a structured yet nontrivial intrinsic geometry.</w:t>
      </w:r>
    </w:p>
    <w:p>
      <w:pPr>
        <w:pStyle w:val="Heading1"/>
      </w:pPr>
      <w:r>
        <w:t>5. Global Comparison Across Datasets</w:t>
      </w:r>
    </w:p>
    <w:p>
      <w:pPr>
        <w:spacing w:before="0" w:after="120" w:line="276" w:lineRule="auto"/>
        <w:jc w:val="both"/>
      </w:pPr>
      <w:r>
        <w:rPr>
          <w:rFonts w:ascii="Times New Roman" w:hAnsi="Times New Roman"/>
          <w:sz w:val="22"/>
        </w:rPr>
        <w:t>After analyzing each dataset individually, it is useful to compare the final PCA-based, correlation-dimension, and kNN-based estimates across all datasets.</w:t>
      </w:r>
    </w:p>
    <w:p>
      <w:pPr>
        <w:spacing w:before="80" w:after="40" w:line="240" w:lineRule="auto"/>
        <w:jc w:val="center"/>
      </w:pPr>
      <w:r>
        <w:drawing>
          <wp:inline xmlns:a="http://schemas.openxmlformats.org/drawingml/2006/main" xmlns:pic="http://schemas.openxmlformats.org/drawingml/2006/picture">
            <wp:extent cx="5852160" cy="3107969"/>
            <wp:docPr id="17" name="Picture 17"/>
            <wp:cNvGraphicFramePr>
              <a:graphicFrameLocks noChangeAspect="1"/>
            </wp:cNvGraphicFramePr>
            <a:graphic>
              <a:graphicData uri="http://schemas.openxmlformats.org/drawingml/2006/picture">
                <pic:pic>
                  <pic:nvPicPr>
                    <pic:cNvPr id="0" name="dimension_comparison_all_methods.png"/>
                    <pic:cNvPicPr/>
                  </pic:nvPicPr>
                  <pic:blipFill>
                    <a:blip r:embed="rId27"/>
                    <a:stretch>
                      <a:fillRect/>
                    </a:stretch>
                  </pic:blipFill>
                  <pic:spPr>
                    <a:xfrm>
                      <a:off x="0" y="0"/>
                      <a:ext cx="5852160" cy="3107969"/>
                    </a:xfrm>
                    <a:prstGeom prst="rect"/>
                  </pic:spPr>
                </pic:pic>
              </a:graphicData>
            </a:graphic>
          </wp:inline>
        </w:drawing>
      </w:r>
    </w:p>
    <w:p>
      <w:pPr>
        <w:spacing w:before="40" w:after="200" w:line="240" w:lineRule="auto"/>
        <w:jc w:val="center"/>
      </w:pPr>
      <w:r>
        <w:rPr>
          <w:rFonts w:ascii="Times New Roman" w:hAnsi="Times New Roman"/>
          <w:b/>
          <w:sz w:val="20"/>
        </w:rPr>
        <w:t xml:space="preserve">Figure 17. </w:t>
      </w:r>
      <w:r>
        <w:rPr>
          <w:rFonts w:ascii="Times New Roman" w:hAnsi="Times New Roman"/>
          <w:i/>
          <w:color w:val="5A5A5A"/>
          <w:sz w:val="20"/>
        </w:rPr>
        <w:t>Comparison of PCA, correlation-dimension, and kNN-based dimensionality estimates across all datasets.</w:t>
      </w:r>
    </w:p>
    <w:p>
      <w:pPr>
        <w:spacing w:before="0" w:after="120" w:line="276" w:lineRule="auto"/>
        <w:jc w:val="both"/>
      </w:pPr>
      <w:r>
        <w:rPr>
          <w:rFonts w:ascii="Times New Roman" w:hAnsi="Times New Roman"/>
          <w:sz w:val="22"/>
        </w:rPr>
        <w:t>The full comparison clearly shows that the three methods capture different aspects of structure. PCA is variance-oriented and linear, correlation dimension is locally geometric, and the kNN estimator provides a neighborhood-based estimate that often lies between the other two.</w:t>
      </w:r>
    </w:p>
    <w:p>
      <w:pPr>
        <w:spacing w:before="80" w:after="40" w:line="240" w:lineRule="auto"/>
        <w:jc w:val="center"/>
      </w:pPr>
      <w:r>
        <w:drawing>
          <wp:inline xmlns:a="http://schemas.openxmlformats.org/drawingml/2006/main" xmlns:pic="http://schemas.openxmlformats.org/drawingml/2006/picture">
            <wp:extent cx="5852160" cy="3105000"/>
            <wp:docPr id="18" name="Picture 18"/>
            <wp:cNvGraphicFramePr>
              <a:graphicFrameLocks noChangeAspect="1"/>
            </wp:cNvGraphicFramePr>
            <a:graphic>
              <a:graphicData uri="http://schemas.openxmlformats.org/drawingml/2006/picture">
                <pic:pic>
                  <pic:nvPicPr>
                    <pic:cNvPr id="0" name="dimension_comparison_synthetic_all_methods.png"/>
                    <pic:cNvPicPr/>
                  </pic:nvPicPr>
                  <pic:blipFill>
                    <a:blip r:embed="rId28"/>
                    <a:stretch>
                      <a:fillRect/>
                    </a:stretch>
                  </pic:blipFill>
                  <pic:spPr>
                    <a:xfrm>
                      <a:off x="0" y="0"/>
                      <a:ext cx="5852160" cy="3105000"/>
                    </a:xfrm>
                    <a:prstGeom prst="rect"/>
                  </pic:spPr>
                </pic:pic>
              </a:graphicData>
            </a:graphic>
          </wp:inline>
        </w:drawing>
      </w:r>
    </w:p>
    <w:p>
      <w:pPr>
        <w:spacing w:before="40" w:after="200" w:line="240" w:lineRule="auto"/>
        <w:jc w:val="center"/>
      </w:pPr>
      <w:r>
        <w:rPr>
          <w:rFonts w:ascii="Times New Roman" w:hAnsi="Times New Roman"/>
          <w:b/>
          <w:sz w:val="20"/>
        </w:rPr>
        <w:t xml:space="preserve">Figure 18. </w:t>
      </w:r>
      <w:r>
        <w:rPr>
          <w:rFonts w:ascii="Times New Roman" w:hAnsi="Times New Roman"/>
          <w:i/>
          <w:color w:val="5A5A5A"/>
          <w:sz w:val="20"/>
        </w:rPr>
        <w:t>Comparison of PCA, correlation-dimension, and kNN estimates restricted to the synthetic datasets.</w:t>
      </w:r>
    </w:p>
    <w:p>
      <w:pPr>
        <w:spacing w:before="0" w:after="120" w:line="276" w:lineRule="auto"/>
        <w:jc w:val="both"/>
      </w:pPr>
      <w:r>
        <w:rPr>
          <w:rFonts w:ascii="Times New Roman" w:hAnsi="Times New Roman"/>
          <w:sz w:val="22"/>
        </w:rPr>
        <w:t>The synthetic-only comparison makes the relationships among the controlled datasets easier to interpret. It shows especially clearly that the 2D plane and the Swiss roll are intrinsically close to two-dimensional, while Gaussian noise remains high-dimensional.</w:t>
      </w:r>
    </w:p>
    <w:p>
      <w:pPr>
        <w:pStyle w:val="Heading1"/>
      </w:pPr>
      <w:r>
        <w:t>6. Visual Reference for MNIST</w:t>
      </w:r>
    </w:p>
    <w:p>
      <w:pPr>
        <w:spacing w:before="0" w:after="120" w:line="276" w:lineRule="auto"/>
        <w:jc w:val="both"/>
      </w:pPr>
      <w:r>
        <w:rPr>
          <w:rFonts w:ascii="Times New Roman" w:hAnsi="Times New Roman"/>
          <w:sz w:val="22"/>
        </w:rPr>
        <w:t>A sample of MNIST images is included below to provide visual context for the type of data analyzed in the experiment.</w:t>
      </w:r>
    </w:p>
    <w:p>
      <w:pPr>
        <w:spacing w:before="80" w:after="40" w:line="240" w:lineRule="auto"/>
        <w:jc w:val="center"/>
      </w:pPr>
      <w:r>
        <w:drawing>
          <wp:inline xmlns:a="http://schemas.openxmlformats.org/drawingml/2006/main" xmlns:pic="http://schemas.openxmlformats.org/drawingml/2006/picture">
            <wp:extent cx="5852160" cy="3015434"/>
            <wp:docPr id="19" name="Picture 19"/>
            <wp:cNvGraphicFramePr>
              <a:graphicFrameLocks noChangeAspect="1"/>
            </wp:cNvGraphicFramePr>
            <a:graphic>
              <a:graphicData uri="http://schemas.openxmlformats.org/drawingml/2006/picture">
                <pic:pic>
                  <pic:nvPicPr>
                    <pic:cNvPr id="0" name="mnist_samples.png"/>
                    <pic:cNvPicPr/>
                  </pic:nvPicPr>
                  <pic:blipFill>
                    <a:blip r:embed="rId29"/>
                    <a:stretch>
                      <a:fillRect/>
                    </a:stretch>
                  </pic:blipFill>
                  <pic:spPr>
                    <a:xfrm>
                      <a:off x="0" y="0"/>
                      <a:ext cx="5852160" cy="3015434"/>
                    </a:xfrm>
                    <a:prstGeom prst="rect"/>
                  </pic:spPr>
                </pic:pic>
              </a:graphicData>
            </a:graphic>
          </wp:inline>
        </w:drawing>
      </w:r>
    </w:p>
    <w:p>
      <w:pPr>
        <w:spacing w:before="40" w:after="200" w:line="240" w:lineRule="auto"/>
        <w:jc w:val="center"/>
      </w:pPr>
      <w:r>
        <w:rPr>
          <w:rFonts w:ascii="Times New Roman" w:hAnsi="Times New Roman"/>
          <w:b/>
          <w:sz w:val="20"/>
        </w:rPr>
        <w:t xml:space="preserve">Figure 19. </w:t>
      </w:r>
      <w:r>
        <w:rPr>
          <w:rFonts w:ascii="Times New Roman" w:hAnsi="Times New Roman"/>
          <w:i/>
          <w:color w:val="5A5A5A"/>
          <w:sz w:val="20"/>
        </w:rPr>
        <w:t>Random sample of MNIST handwritten digit images.</w:t>
      </w:r>
    </w:p>
    <w:p>
      <w:pPr>
        <w:spacing w:before="0" w:after="120" w:line="276" w:lineRule="auto"/>
        <w:jc w:val="both"/>
      </w:pPr>
      <w:r>
        <w:rPr>
          <w:rFonts w:ascii="Times New Roman" w:hAnsi="Times New Roman"/>
          <w:sz w:val="22"/>
        </w:rPr>
        <w:t>Although each image is represented numerically as a 784-dimensional vector, the visual variation is governed by a much smaller set of semantic factors, including digit identity, stroke thickness, slant, and writing style.</w:t>
      </w:r>
    </w:p>
    <w:p>
      <w:pPr>
        <w:pStyle w:val="Heading1"/>
      </w:pPr>
      <w:r>
        <w:t>7. Discussion and Conclusion</w:t>
      </w:r>
    </w:p>
    <w:p>
      <w:pPr>
        <w:spacing w:before="0" w:after="120" w:line="276" w:lineRule="auto"/>
        <w:jc w:val="both"/>
      </w:pPr>
      <w:r>
        <w:rPr>
          <w:rFonts w:ascii="Times New Roman" w:hAnsi="Times New Roman"/>
          <w:sz w:val="22"/>
        </w:rPr>
        <w:t>The results demonstrate that intrinsic dimension is not a single quantity that all methods recover identically. Instead, the estimate depends on what aspect of structure is being measured.</w:t>
      </w:r>
    </w:p>
    <w:p>
      <w:pPr>
        <w:pStyle w:val="ListBullet"/>
        <w:spacing w:before="0" w:after="60" w:line="276" w:lineRule="auto"/>
        <w:jc w:val="left"/>
      </w:pPr>
      <w:r>
        <w:rPr>
          <w:rFonts w:ascii="Times New Roman" w:hAnsi="Times New Roman"/>
          <w:sz w:val="22"/>
        </w:rPr>
        <w:t>PCA is most informative when the data are approximately linear and the goal is variance preservation.</w:t>
      </w:r>
    </w:p>
    <w:p>
      <w:pPr>
        <w:pStyle w:val="ListBullet"/>
        <w:spacing w:before="0" w:after="60" w:line="276" w:lineRule="auto"/>
        <w:jc w:val="left"/>
      </w:pPr>
      <w:r>
        <w:rPr>
          <w:rFonts w:ascii="Times New Roman" w:hAnsi="Times New Roman"/>
          <w:sz w:val="22"/>
        </w:rPr>
        <w:t>Correlation dimension is better suited to capturing nonlinear geometric structure.</w:t>
      </w:r>
    </w:p>
    <w:p>
      <w:pPr>
        <w:pStyle w:val="ListBullet"/>
        <w:spacing w:before="0" w:after="60" w:line="276" w:lineRule="auto"/>
        <w:jc w:val="left"/>
      </w:pPr>
      <w:r>
        <w:rPr>
          <w:rFonts w:ascii="Times New Roman" w:hAnsi="Times New Roman"/>
          <w:sz w:val="22"/>
        </w:rPr>
        <w:t>The kNN estimator provides an additional neighborhood-based perspective and complements both PCA and correlation dimension.</w:t>
      </w:r>
    </w:p>
    <w:p>
      <w:pPr>
        <w:pStyle w:val="ListBullet"/>
        <w:spacing w:before="0" w:after="60" w:line="276" w:lineRule="auto"/>
        <w:jc w:val="left"/>
      </w:pPr>
      <w:r>
        <w:rPr>
          <w:rFonts w:ascii="Times New Roman" w:hAnsi="Times New Roman"/>
          <w:sz w:val="22"/>
        </w:rPr>
        <w:t>Agreement between the methods is strongest for simple linear datasets, while disagreement becomes informative for nonlinear and complex real-world data.</w:t>
      </w:r>
    </w:p>
    <w:p>
      <w:pPr>
        <w:spacing w:before="0" w:after="120" w:line="276" w:lineRule="auto"/>
        <w:jc w:val="both"/>
      </w:pPr>
      <w:r>
        <w:rPr>
          <w:rFonts w:ascii="Times New Roman" w:hAnsi="Times New Roman"/>
          <w:sz w:val="22"/>
        </w:rPr>
        <w:t>Overall, the 2D plane embedded in 10D served as a clear sanity check, the Swiss roll highlighted the limitations of linear methods, Gaussian noise behaved as a high-dimensional unstructured dataset, and MNIST revealed a structured but nontrivial intrinsic geometry.</w:t>
      </w:r>
    </w:p>
    <w:p>
      <w:pPr>
        <w:spacing w:before="0" w:after="120" w:line="276" w:lineRule="auto"/>
        <w:jc w:val="both"/>
      </w:pPr>
      <w:r>
        <w:rPr>
          <w:rFonts w:ascii="Times New Roman" w:hAnsi="Times New Roman"/>
          <w:sz w:val="22"/>
        </w:rPr>
        <w:t>Taken together, the three estimators provide a richer and more balanced view of dataset complexity than any single method alone.</w:t>
      </w:r>
    </w:p>
    <w:sectPr w:rsidR="00FC693F" w:rsidRPr="0006063C" w:rsidSect="00034616">
      <w:headerReference w:type="default" r:id="rId9"/>
      <w:footerReference w:type="default" r:id="rId10"/>
      <w:pgSz w:w="12240" w:h="15840"/>
      <w:pgMar w:top="1296"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A5A5A"/>
        <w:sz w:val="18"/>
      </w:rPr>
      <w:t>Final submission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5A5A"/>
        <w:sz w:val="18"/>
      </w:rPr>
      <w:t>Intrinsic Dimension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8282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