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D310B" w14:textId="77777777" w:rsidR="00ED2733" w:rsidRDefault="00000000">
      <w:pPr>
        <w:spacing w:after="120"/>
        <w:jc w:val="center"/>
      </w:pPr>
      <w:r>
        <w:rPr>
          <w:b/>
          <w:bCs/>
          <w:sz w:val="32"/>
          <w:szCs w:val="32"/>
        </w:rPr>
        <w:t xml:space="preserve">A 1D Nernst-Planck + Tafel Kinetics Model of Acrylonitrile </w:t>
      </w:r>
      <w:proofErr w:type="spellStart"/>
      <w:r>
        <w:rPr>
          <w:b/>
          <w:bCs/>
          <w:sz w:val="32"/>
          <w:szCs w:val="32"/>
        </w:rPr>
        <w:t>Electrohydrodimerization</w:t>
      </w:r>
      <w:proofErr w:type="spellEnd"/>
      <w:r>
        <w:rPr>
          <w:b/>
          <w:bCs/>
          <w:sz w:val="32"/>
          <w:szCs w:val="32"/>
        </w:rPr>
        <w:t xml:space="preserve"> to Adiponitrile</w:t>
      </w:r>
    </w:p>
    <w:p w14:paraId="724F24E5" w14:textId="77777777" w:rsidR="00ED2733" w:rsidRDefault="00000000">
      <w:pPr>
        <w:spacing w:after="240"/>
        <w:jc w:val="center"/>
      </w:pPr>
      <w:r>
        <w:rPr>
          <w:i/>
          <w:iCs/>
          <w:sz w:val="24"/>
          <w:szCs w:val="24"/>
        </w:rPr>
        <w:t>Levenberg-Marquardt Fitting Against Constant-Current Experimental Data</w:t>
      </w:r>
    </w:p>
    <w:p w14:paraId="61476458" w14:textId="77777777" w:rsidR="00ED2733" w:rsidRDefault="00000000">
      <w:pPr>
        <w:spacing w:after="80"/>
        <w:jc w:val="center"/>
      </w:pPr>
      <w:r>
        <w:t>CBE-GY 6153 Numerical Methods in Chemical Engineering — Group Project</w:t>
      </w:r>
    </w:p>
    <w:p w14:paraId="0AE16741" w14:textId="77777777" w:rsidR="00ED2733" w:rsidRDefault="00000000">
      <w:pPr>
        <w:spacing w:after="80"/>
        <w:jc w:val="center"/>
      </w:pPr>
      <w:r>
        <w:t>NYU Tandon School of Engineering</w:t>
      </w:r>
    </w:p>
    <w:p w14:paraId="0442CF94" w14:textId="77777777" w:rsidR="00ED2733" w:rsidRDefault="00000000">
      <w:pPr>
        <w:spacing w:after="80"/>
        <w:jc w:val="center"/>
      </w:pPr>
      <w:r>
        <w:rPr>
          <w:i/>
          <w:iCs/>
          <w:color w:val="595959"/>
        </w:rPr>
        <w:t>Team members: [Name 1], [Name 2], [Name 3], [Name 4]</w:t>
      </w:r>
    </w:p>
    <w:p w14:paraId="122225A1" w14:textId="77777777" w:rsidR="00ED2733" w:rsidRDefault="00000000">
      <w:pPr>
        <w:spacing w:after="240"/>
        <w:jc w:val="center"/>
      </w:pPr>
      <w:r>
        <w:t>Due: 2026-05-05</w:t>
      </w:r>
    </w:p>
    <w:p w14:paraId="430A4231" w14:textId="77777777" w:rsidR="00ED2733" w:rsidRDefault="00000000">
      <w:pPr>
        <w:pStyle w:val="Heading1"/>
      </w:pPr>
      <w:r>
        <w:t>Abstract</w:t>
      </w:r>
    </w:p>
    <w:p w14:paraId="7B9A2E2F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t xml:space="preserve">≤150 words. Cover, in order: (1) Motivation — ADPN as nylon-6,6 precursor; experimental selectivity exceeds 1D model expectations. (2) Methods — 1D planar 9-species Nernst-Planck transport with </w:t>
      </w:r>
      <w:proofErr w:type="spellStart"/>
      <w:r>
        <w:rPr>
          <w:i/>
          <w:iCs/>
          <w:color w:val="595959"/>
          <w:sz w:val="20"/>
          <w:szCs w:val="20"/>
        </w:rPr>
        <w:t>Scharfetter</w:t>
      </w:r>
      <w:proofErr w:type="spellEnd"/>
      <w:r>
        <w:rPr>
          <w:i/>
          <w:iCs/>
          <w:color w:val="595959"/>
          <w:sz w:val="20"/>
          <w:szCs w:val="20"/>
        </w:rPr>
        <w:t xml:space="preserve">-Gummel flux; Tafel kinetics for 4 cathodic reactions; </w:t>
      </w:r>
      <w:proofErr w:type="spellStart"/>
      <w:r>
        <w:rPr>
          <w:i/>
          <w:iCs/>
          <w:color w:val="595959"/>
          <w:sz w:val="20"/>
          <w:szCs w:val="20"/>
        </w:rPr>
        <w:t>ForwardDiff</w:t>
      </w:r>
      <w:proofErr w:type="spellEnd"/>
      <w:r>
        <w:rPr>
          <w:i/>
          <w:iCs/>
          <w:color w:val="595959"/>
          <w:sz w:val="20"/>
          <w:szCs w:val="20"/>
        </w:rPr>
        <w:t xml:space="preserve">-AD-accelerated banded Newton solver with V- and log-j-continuation; Levenberg-Marquardt fit against 162-row constant-current dataset (Bloomquist et al., 2026); 9 fit parameters across 3 species channels. (3) Key results — Core RMSEs FE_ADN = 8.2 pp, FE_PN = 4.9 pp, FE_TCH = 6.2 pp; AN reaction orders fit at </w:t>
      </w:r>
      <w:proofErr w:type="spellStart"/>
      <w:r>
        <w:rPr>
          <w:i/>
          <w:iCs/>
          <w:color w:val="595959"/>
          <w:sz w:val="20"/>
          <w:szCs w:val="20"/>
        </w:rPr>
        <w:t>n_ADN</w:t>
      </w:r>
      <w:proofErr w:type="spellEnd"/>
      <w:r>
        <w:rPr>
          <w:i/>
          <w:iCs/>
          <w:color w:val="595959"/>
          <w:sz w:val="20"/>
          <w:szCs w:val="20"/>
        </w:rPr>
        <w:t xml:space="preserve"> = 0.63, </w:t>
      </w:r>
      <w:proofErr w:type="spellStart"/>
      <w:r>
        <w:rPr>
          <w:i/>
          <w:iCs/>
          <w:color w:val="595959"/>
          <w:sz w:val="20"/>
          <w:szCs w:val="20"/>
        </w:rPr>
        <w:t>n_PN</w:t>
      </w:r>
      <w:proofErr w:type="spellEnd"/>
      <w:r>
        <w:rPr>
          <w:i/>
          <w:iCs/>
          <w:color w:val="595959"/>
          <w:sz w:val="20"/>
          <w:szCs w:val="20"/>
        </w:rPr>
        <w:t xml:space="preserve"> = 0.97, </w:t>
      </w:r>
      <w:proofErr w:type="spellStart"/>
      <w:r>
        <w:rPr>
          <w:i/>
          <w:iCs/>
          <w:color w:val="595959"/>
          <w:sz w:val="20"/>
          <w:szCs w:val="20"/>
        </w:rPr>
        <w:t>n_TCH</w:t>
      </w:r>
      <w:proofErr w:type="spellEnd"/>
      <w:r>
        <w:rPr>
          <w:i/>
          <w:iCs/>
          <w:color w:val="595959"/>
          <w:sz w:val="20"/>
          <w:szCs w:val="20"/>
        </w:rPr>
        <w:t xml:space="preserve"> = 1.83 — diverging from textbook molecularity values, consistent with Langmuir-Hinshelwood surface coverage saturation. (4) Implication — Remaining ~30 pp Holdout error points at missing bubble-induced convection physics for narrow-gap reactors.</w:t>
      </w:r>
    </w:p>
    <w:p w14:paraId="64EABFDA" w14:textId="77777777" w:rsidR="00ED2733" w:rsidRDefault="00000000">
      <w:pPr>
        <w:spacing w:before="60" w:after="60"/>
      </w:pPr>
      <w:r>
        <w:t>[ Draft abstract here — final length must be ≤150 words. ]</w:t>
      </w:r>
    </w:p>
    <w:p w14:paraId="1CCEF4ED" w14:textId="77777777" w:rsidR="00ED2733" w:rsidRDefault="00000000">
      <w:pPr>
        <w:pStyle w:val="Heading1"/>
      </w:pPr>
      <w:r>
        <w:t>1. Introduction and Motivation</w:t>
      </w:r>
    </w:p>
    <w:p w14:paraId="4A96DCB2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t>Target length: ~1.25 pages, including Figure 1.</w:t>
      </w:r>
    </w:p>
    <w:p w14:paraId="189D8623" w14:textId="77777777" w:rsidR="00ED2733" w:rsidRDefault="00000000">
      <w:pPr>
        <w:pStyle w:val="Heading2"/>
      </w:pPr>
      <w:r>
        <w:t>1.1 Industrial Relevance</w:t>
      </w:r>
    </w:p>
    <w:p w14:paraId="6E2FAEA6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ADPN is the nylon-6,6 precursor; ~1.3 Mt/yr global production; the Monsanto/Baizer process electrochemically </w:t>
      </w:r>
      <w:proofErr w:type="spellStart"/>
      <w:r>
        <w:t>dimerises</w:t>
      </w:r>
      <w:proofErr w:type="spellEnd"/>
      <w:r>
        <w:t xml:space="preserve"> acrylonitrile (AN) on a Cd cathode in alkaline phosphate buffer.</w:t>
      </w:r>
    </w:p>
    <w:p w14:paraId="364C1083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Industrial cells achieve ~80% FE_ADPN, but academic/benchtop reactors plateau at 30-50% FE_ADPN — the gap motivates first-principles modelling.</w:t>
      </w:r>
    </w:p>
    <w:p w14:paraId="1F225552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Bloomquist et al. (CEJ 2026, 528, 172125) recently demonstrated 73-80% FE_ADPN in a flow cell with controlled droplet hydrodynamics; their dataset is the fitting target of this work.</w:t>
      </w:r>
    </w:p>
    <w:p w14:paraId="032FFB91" w14:textId="77777777" w:rsidR="00ED2733" w:rsidRDefault="00000000">
      <w:pPr>
        <w:pStyle w:val="Heading2"/>
      </w:pPr>
      <w:r>
        <w:t>1.2 Modelling Problem</w:t>
      </w:r>
    </w:p>
    <w:p w14:paraId="62D295CF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Why 1D? The cathode-electrolyte interface is the rate-controlling region; no significant transverse gradients in the Bloomquist channel geometry.</w:t>
      </w:r>
    </w:p>
    <w:p w14:paraId="43C9FF84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Why Nernst-Planck + Tafel? Dilute multi-ion electrolyte with phosphate buffer + organic phase; standard textbook framework, augmented with regime-aware mixture diffusivity and a Lévêque boundary-layer mapping.</w:t>
      </w:r>
    </w:p>
    <w:p w14:paraId="375C4937" w14:textId="77777777" w:rsidR="00ED2733" w:rsidRDefault="00000000">
      <w:pPr>
        <w:pStyle w:val="Heading2"/>
      </w:pPr>
      <w:r>
        <w:t>1.3 Goals of This Work</w:t>
      </w:r>
    </w:p>
    <w:p w14:paraId="6A7189C9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Build a 1D planar Nernst-Planck model of the cathode boundary layer that converges robustly across operating conditions: j ∈ [25, 600] mA/cm², </w:t>
      </w:r>
      <w:proofErr w:type="spellStart"/>
      <w:r>
        <w:t>ε_org</w:t>
      </w:r>
      <w:proofErr w:type="spellEnd"/>
      <w:r>
        <w:t xml:space="preserve"> ∈ [0.02, 0.30], gap ∈ [0.25, 1.0] mm.</w:t>
      </w:r>
    </w:p>
    <w:p w14:paraId="20BFD6D0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lastRenderedPageBreak/>
        <w:t xml:space="preserve">Fit kinetic parameters against the 162-row experimental dataset using gradient-based </w:t>
      </w:r>
      <w:proofErr w:type="spellStart"/>
      <w:r>
        <w:t>optimisation</w:t>
      </w:r>
      <w:proofErr w:type="spellEnd"/>
      <w:r>
        <w:t>.</w:t>
      </w:r>
    </w:p>
    <w:p w14:paraId="7AA0A786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Use the residual structure to identify which physical mechanisms the model is missing — diagnostic, not just descriptive, modelling.</w:t>
      </w:r>
    </w:p>
    <w:p w14:paraId="0047C834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1 — figure placeholder ]</w:t>
      </w:r>
    </w:p>
    <w:p w14:paraId="5CD8246B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1. </w:t>
      </w:r>
      <w:r>
        <w:t xml:space="preserve">Flow cell schematic and 1D model abstraction. (a) Cross-section of the Bloomquist parallel-plate flow cell with annotated channel dimensions (gap × W × L), aqueous and organic feeds, Cd cathode and SS anode. (b) The 1D model abstraction — graded mesh perpendicular to the cathode, x ∈ [0, </w:t>
      </w:r>
      <w:proofErr w:type="spellStart"/>
      <w:r>
        <w:t>δ_lev</w:t>
      </w:r>
      <w:proofErr w:type="spellEnd"/>
      <w:r>
        <w:t>], with 9 species concentration profiles (illustrative).</w:t>
      </w:r>
    </w:p>
    <w:p w14:paraId="6AF9F92F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Generated schematic; ~3 inches tall, two panels.</w:t>
      </w:r>
    </w:p>
    <w:p w14:paraId="12D95FE9" w14:textId="77777777" w:rsidR="00ED2733" w:rsidRDefault="00000000">
      <w:pPr>
        <w:pStyle w:val="Heading1"/>
      </w:pPr>
      <w:r>
        <w:t>2. Methodology</w:t>
      </w:r>
    </w:p>
    <w:p w14:paraId="38412D69" w14:textId="77777777" w:rsidR="00ED2733" w:rsidRDefault="00000000">
      <w:pPr>
        <w:spacing w:before="60" w:after="6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Target length: ~4.0 pages. This is the section the instructor grades. Lean on numerical-methods detail.</w:t>
      </w:r>
    </w:p>
    <w:p w14:paraId="6FEFC2C9" w14:textId="77777777" w:rsidR="00367D62" w:rsidRDefault="00367D62">
      <w:pPr>
        <w:spacing w:before="60" w:after="60"/>
        <w:rPr>
          <w:color w:val="000000" w:themeColor="text1"/>
        </w:rPr>
      </w:pPr>
    </w:p>
    <w:p w14:paraId="7D7821A3" w14:textId="586202D5" w:rsidR="003977F1" w:rsidRPr="00367D62" w:rsidRDefault="00367D62" w:rsidP="00B61C59">
      <w:pPr>
        <w:spacing w:before="60" w:after="60"/>
        <w:jc w:val="both"/>
        <w:rPr>
          <w:color w:val="000000" w:themeColor="text1"/>
        </w:rPr>
      </w:pPr>
      <w:r w:rsidRPr="00367D62">
        <w:rPr>
          <w:color w:val="000000" w:themeColor="text1"/>
        </w:rPr>
        <w:t>Th</w:t>
      </w:r>
      <w:r>
        <w:rPr>
          <w:color w:val="000000" w:themeColor="text1"/>
        </w:rPr>
        <w:t>e</w:t>
      </w:r>
      <w:r w:rsidRPr="00367D62">
        <w:rPr>
          <w:color w:val="000000" w:themeColor="text1"/>
        </w:rPr>
        <w:t xml:space="preserve"> model was </w:t>
      </w:r>
      <w:r>
        <w:rPr>
          <w:color w:val="000000" w:themeColor="text1"/>
        </w:rPr>
        <w:t>built in stages</w:t>
      </w:r>
      <w:r w:rsidR="002A7574">
        <w:rPr>
          <w:color w:val="000000" w:themeColor="text1"/>
        </w:rPr>
        <w:t xml:space="preserve"> following</w:t>
      </w:r>
      <w:r w:rsidR="00C50443">
        <w:rPr>
          <w:color w:val="000000" w:themeColor="text1"/>
        </w:rPr>
        <w:t>, using Claude Code Opus 4.7 to implement the code and numerical methods.</w:t>
      </w:r>
      <w:r w:rsidR="002A7574">
        <w:rPr>
          <w:color w:val="000000" w:themeColor="text1"/>
        </w:rPr>
        <w:t xml:space="preserve"> </w:t>
      </w:r>
      <w:r w:rsidR="00043134">
        <w:rPr>
          <w:color w:val="000000" w:themeColor="text1"/>
        </w:rPr>
        <w:t xml:space="preserve">The process began by developing an implementation guide, outlining the </w:t>
      </w:r>
      <w:r w:rsidR="00F83266">
        <w:rPr>
          <w:color w:val="000000" w:themeColor="text1"/>
        </w:rPr>
        <w:t>entire model</w:t>
      </w:r>
      <w:r w:rsidR="004F601F">
        <w:rPr>
          <w:color w:val="000000" w:themeColor="text1"/>
        </w:rPr>
        <w:t xml:space="preserve"> including the</w:t>
      </w:r>
      <w:r w:rsidR="00F83266">
        <w:rPr>
          <w:color w:val="000000" w:themeColor="text1"/>
        </w:rPr>
        <w:t xml:space="preserve"> </w:t>
      </w:r>
      <w:r w:rsidR="00C62125">
        <w:rPr>
          <w:color w:val="000000" w:themeColor="text1"/>
        </w:rPr>
        <w:t>structure, equations, and parameter</w:t>
      </w:r>
      <w:r w:rsidR="004F601F">
        <w:rPr>
          <w:color w:val="000000" w:themeColor="text1"/>
        </w:rPr>
        <w:t>s</w:t>
      </w:r>
      <w:r w:rsidR="002A7574">
        <w:rPr>
          <w:color w:val="000000" w:themeColor="text1"/>
        </w:rPr>
        <w:t xml:space="preserve"> (Appendix)</w:t>
      </w:r>
      <w:r w:rsidR="004F601F">
        <w:rPr>
          <w:color w:val="000000" w:themeColor="text1"/>
        </w:rPr>
        <w:t xml:space="preserve">. </w:t>
      </w:r>
      <w:r w:rsidR="00B437C1">
        <w:rPr>
          <w:color w:val="000000" w:themeColor="text1"/>
        </w:rPr>
        <w:t xml:space="preserve">The purpose of the guide is to have a </w:t>
      </w:r>
      <w:r w:rsidR="00FE0A86">
        <w:rPr>
          <w:color w:val="000000" w:themeColor="text1"/>
        </w:rPr>
        <w:t xml:space="preserve">working document that </w:t>
      </w:r>
      <w:r w:rsidR="005C0033">
        <w:rPr>
          <w:color w:val="000000" w:themeColor="text1"/>
        </w:rPr>
        <w:t xml:space="preserve">the LLM agent can read </w:t>
      </w:r>
      <w:r w:rsidR="009D5E34">
        <w:rPr>
          <w:color w:val="000000" w:themeColor="text1"/>
        </w:rPr>
        <w:t>develop in coordination with the researcher</w:t>
      </w:r>
      <w:r w:rsidR="00D15528">
        <w:rPr>
          <w:color w:val="000000" w:themeColor="text1"/>
        </w:rPr>
        <w:t xml:space="preserve"> to </w:t>
      </w:r>
      <w:r w:rsidR="005B6497">
        <w:rPr>
          <w:color w:val="000000" w:themeColor="text1"/>
        </w:rPr>
        <w:t xml:space="preserve">refine the model build. </w:t>
      </w:r>
      <w:r w:rsidR="00E701E5">
        <w:rPr>
          <w:color w:val="000000" w:themeColor="text1"/>
        </w:rPr>
        <w:t>This is the backbone of the model build</w:t>
      </w:r>
      <w:r w:rsidR="008917FC">
        <w:rPr>
          <w:color w:val="000000" w:themeColor="text1"/>
        </w:rPr>
        <w:t xml:space="preserve"> that </w:t>
      </w:r>
      <w:r w:rsidR="00B0245D">
        <w:rPr>
          <w:color w:val="000000" w:themeColor="text1"/>
        </w:rPr>
        <w:t>encodes everything in a way an agent</w:t>
      </w:r>
      <w:r w:rsidR="00F82C2E">
        <w:rPr>
          <w:color w:val="000000" w:themeColor="text1"/>
        </w:rPr>
        <w:t>/researcher</w:t>
      </w:r>
      <w:r w:rsidR="00B0245D">
        <w:rPr>
          <w:color w:val="000000" w:themeColor="text1"/>
        </w:rPr>
        <w:t xml:space="preserve"> can read and build reproducibly</w:t>
      </w:r>
      <w:r w:rsidR="00363CD1">
        <w:rPr>
          <w:color w:val="000000" w:themeColor="text1"/>
        </w:rPr>
        <w:t xml:space="preserve">, </w:t>
      </w:r>
      <w:r w:rsidR="00D1044F">
        <w:rPr>
          <w:color w:val="000000" w:themeColor="text1"/>
        </w:rPr>
        <w:t>allowing for</w:t>
      </w:r>
      <w:r w:rsidR="00093CBB">
        <w:rPr>
          <w:color w:val="000000" w:themeColor="text1"/>
        </w:rPr>
        <w:t xml:space="preserve"> </w:t>
      </w:r>
      <w:r w:rsidR="009D4A48">
        <w:rPr>
          <w:color w:val="000000" w:themeColor="text1"/>
        </w:rPr>
        <w:t>cross-user repro</w:t>
      </w:r>
      <w:r w:rsidR="004E4FC4">
        <w:rPr>
          <w:color w:val="000000" w:themeColor="text1"/>
        </w:rPr>
        <w:t>ducibi</w:t>
      </w:r>
      <w:r w:rsidR="009D4A48">
        <w:rPr>
          <w:color w:val="000000" w:themeColor="text1"/>
        </w:rPr>
        <w:t xml:space="preserve">lity and </w:t>
      </w:r>
      <w:r w:rsidR="00AE6D04">
        <w:rPr>
          <w:color w:val="000000" w:themeColor="text1"/>
        </w:rPr>
        <w:t xml:space="preserve">continuous </w:t>
      </w:r>
      <w:r w:rsidR="004E4FC4">
        <w:rPr>
          <w:color w:val="000000" w:themeColor="text1"/>
        </w:rPr>
        <w:t>improvement.</w:t>
      </w:r>
      <w:r w:rsidR="004C1FE6">
        <w:rPr>
          <w:color w:val="000000" w:themeColor="text1"/>
        </w:rPr>
        <w:t xml:space="preserve"> </w:t>
      </w:r>
      <w:r w:rsidR="00BB4B8D">
        <w:rPr>
          <w:color w:val="000000" w:themeColor="text1"/>
        </w:rPr>
        <w:t>Once the initial guide was built</w:t>
      </w:r>
      <w:r w:rsidR="00A13F36">
        <w:rPr>
          <w:color w:val="000000" w:themeColor="text1"/>
        </w:rPr>
        <w:t xml:space="preserve"> and the problem was defined enough, initial builds were made</w:t>
      </w:r>
      <w:r w:rsidR="00902B95">
        <w:rPr>
          <w:color w:val="000000" w:themeColor="text1"/>
        </w:rPr>
        <w:t>, which were then iteratively</w:t>
      </w:r>
      <w:r w:rsidR="0077205F">
        <w:rPr>
          <w:color w:val="000000" w:themeColor="text1"/>
        </w:rPr>
        <w:t xml:space="preserve"> and simultaneously</w:t>
      </w:r>
      <w:r w:rsidR="00902B95">
        <w:rPr>
          <w:color w:val="000000" w:themeColor="text1"/>
        </w:rPr>
        <w:t xml:space="preserve"> </w:t>
      </w:r>
      <w:r w:rsidR="00566F26">
        <w:rPr>
          <w:color w:val="000000" w:themeColor="text1"/>
        </w:rPr>
        <w:t>improved</w:t>
      </w:r>
      <w:r w:rsidR="0077205F">
        <w:rPr>
          <w:color w:val="000000" w:themeColor="text1"/>
        </w:rPr>
        <w:t xml:space="preserve"> with the guide. </w:t>
      </w:r>
      <w:r w:rsidR="00B53B5F">
        <w:rPr>
          <w:color w:val="000000" w:themeColor="text1"/>
        </w:rPr>
        <w:t xml:space="preserve">The researchers could </w:t>
      </w:r>
      <w:r w:rsidR="00587DFA">
        <w:rPr>
          <w:color w:val="000000" w:themeColor="text1"/>
        </w:rPr>
        <w:t xml:space="preserve">identify if the model is running correctly based on </w:t>
      </w:r>
      <w:r w:rsidR="000D5F15">
        <w:rPr>
          <w:color w:val="000000" w:themeColor="text1"/>
        </w:rPr>
        <w:t>physical intuition (</w:t>
      </w:r>
      <w:proofErr w:type="spellStart"/>
      <w:r w:rsidR="000D5F15">
        <w:rPr>
          <w:color w:val="000000" w:themeColor="text1"/>
        </w:rPr>
        <w:t>e.g</w:t>
      </w:r>
      <w:proofErr w:type="spellEnd"/>
      <w:r w:rsidR="000D5F15">
        <w:rPr>
          <w:color w:val="000000" w:themeColor="text1"/>
        </w:rPr>
        <w:t xml:space="preserve">, pH increasing at high currents, </w:t>
      </w:r>
      <w:r w:rsidR="003A79BB">
        <w:rPr>
          <w:color w:val="000000" w:themeColor="text1"/>
        </w:rPr>
        <w:t>concentration of reactants decreasing towards the electrode)</w:t>
      </w:r>
      <w:r w:rsidR="00F71F34">
        <w:rPr>
          <w:color w:val="000000" w:themeColor="text1"/>
        </w:rPr>
        <w:t xml:space="preserve"> and investigate if issues arise.</w:t>
      </w:r>
    </w:p>
    <w:p w14:paraId="03DA4DE2" w14:textId="77777777" w:rsidR="003977F1" w:rsidRDefault="003977F1">
      <w:pPr>
        <w:spacing w:before="60" w:after="60"/>
      </w:pPr>
    </w:p>
    <w:p w14:paraId="466E89F9" w14:textId="30B799AC" w:rsidR="00CB02D7" w:rsidRDefault="00CB02D7">
      <w:pPr>
        <w:spacing w:before="60" w:after="60"/>
      </w:pPr>
      <w:r>
        <w:t xml:space="preserve">Stage 1: </w:t>
      </w:r>
      <w:r w:rsidR="00D00355">
        <w:t>Build majority of the model,</w:t>
      </w:r>
      <w:r w:rsidR="00FF0B52">
        <w:t xml:space="preserve"> assume one phase</w:t>
      </w:r>
    </w:p>
    <w:p w14:paraId="34D68586" w14:textId="5D963BA6" w:rsidR="00CB02D7" w:rsidRPr="00696E79" w:rsidRDefault="00CB02D7">
      <w:pPr>
        <w:spacing w:before="60" w:after="60"/>
      </w:pPr>
      <w:r>
        <w:t>Stage 2:</w:t>
      </w:r>
      <w:r w:rsidR="00B6734F">
        <w:t xml:space="preserve"> </w:t>
      </w:r>
      <w:r w:rsidR="00B458EE">
        <w:t xml:space="preserve">Extend </w:t>
      </w:r>
      <w:proofErr w:type="spellStart"/>
      <w:r w:rsidR="00696E79">
        <w:t>ε</w:t>
      </w:r>
      <w:r w:rsidR="00696E79" w:rsidRPr="00696E79">
        <w:rPr>
          <w:vertAlign w:val="subscript"/>
        </w:rPr>
        <w:t>org</w:t>
      </w:r>
      <w:proofErr w:type="spellEnd"/>
      <w:r w:rsidR="00696E79">
        <w:t xml:space="preserve"> &gt; 0.09</w:t>
      </w:r>
      <w:r w:rsidR="009A4479">
        <w:t xml:space="preserve"> (two phase). </w:t>
      </w:r>
      <w:r w:rsidR="00444D36">
        <w:t xml:space="preserve">Modify diffusivities </w:t>
      </w:r>
      <w:r w:rsidR="001F4C64">
        <w:t>using arithmetic mean in volume fraction</w:t>
      </w:r>
    </w:p>
    <w:p w14:paraId="4685ABDE" w14:textId="7128FAED" w:rsidR="00CB02D7" w:rsidRPr="00015A7F" w:rsidRDefault="00CB02D7">
      <w:pPr>
        <w:spacing w:before="60" w:after="60"/>
      </w:pPr>
      <w:r>
        <w:t>Stage 3:</w:t>
      </w:r>
      <w:r w:rsidR="001F4C64">
        <w:t xml:space="preserve"> </w:t>
      </w:r>
      <w:r w:rsidR="00512D2C">
        <w:t xml:space="preserve">Sweep parameters at experimental </w:t>
      </w:r>
      <w:r w:rsidR="00015A7F">
        <w:t>values (</w:t>
      </w:r>
      <w:proofErr w:type="spellStart"/>
      <w:r w:rsidR="00015A7F">
        <w:t>ε</w:t>
      </w:r>
      <w:r w:rsidR="00015A7F" w:rsidRPr="00696E79">
        <w:rPr>
          <w:vertAlign w:val="subscript"/>
        </w:rPr>
        <w:t>org</w:t>
      </w:r>
      <w:proofErr w:type="spellEnd"/>
      <w:r w:rsidR="00015A7F">
        <w:t xml:space="preserve">, </w:t>
      </w:r>
      <w:r w:rsidR="00FB1A43">
        <w:t>gap,</w:t>
      </w:r>
      <w:r w:rsidR="00736C4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</m:oMath>
      <w:r w:rsidR="00736C4B">
        <w:t>)</w:t>
      </w:r>
      <w:r w:rsidR="004C2BDE">
        <w:t xml:space="preserve"> to prepare for </w:t>
      </w:r>
      <w:r w:rsidR="00172CA3">
        <w:t>fitting step</w:t>
      </w:r>
    </w:p>
    <w:p w14:paraId="17F2917C" w14:textId="62CF3E1D" w:rsidR="00CB02D7" w:rsidRDefault="00CB02D7">
      <w:pPr>
        <w:spacing w:before="60" w:after="60"/>
      </w:pPr>
      <w:r>
        <w:t>Stage 4:</w:t>
      </w:r>
      <w:r w:rsidR="00A758AF">
        <w:t xml:space="preserve"> </w:t>
      </w:r>
      <w:r w:rsidR="00FA17F4">
        <w:t xml:space="preserve">Fit kinetic parameters </w:t>
      </w:r>
      <w:r w:rsidR="005629B0">
        <w:t>to experimental values</w:t>
      </w:r>
    </w:p>
    <w:p w14:paraId="0B400205" w14:textId="77777777" w:rsidR="00CB02D7" w:rsidRDefault="00CB02D7">
      <w:pPr>
        <w:spacing w:before="60" w:after="60"/>
      </w:pPr>
    </w:p>
    <w:p w14:paraId="59C0A0E6" w14:textId="105ACCF9" w:rsidR="004505ED" w:rsidRDefault="004821CF">
      <w:pPr>
        <w:spacing w:before="60" w:after="60"/>
      </w:pPr>
      <w:r>
        <w:t>With this staged process</w:t>
      </w:r>
      <w:r w:rsidR="00111A58">
        <w:t>, the model can be built in</w:t>
      </w:r>
      <w:r w:rsidR="006544A3">
        <w:t xml:space="preserve"> a digestible and careful</w:t>
      </w:r>
      <w:r w:rsidR="00605CC2">
        <w:t xml:space="preserve"> way</w:t>
      </w:r>
      <w:r w:rsidR="00992A25">
        <w:t xml:space="preserve">, ensuring validity </w:t>
      </w:r>
      <w:r w:rsidR="00AE333C">
        <w:t xml:space="preserve">from </w:t>
      </w:r>
      <w:r w:rsidR="00EE6BFD">
        <w:t xml:space="preserve">foundational skeleton to </w:t>
      </w:r>
      <w:r w:rsidR="00A04860">
        <w:t>full</w:t>
      </w:r>
      <w:r w:rsidR="000C5BDF">
        <w:t>y developed</w:t>
      </w:r>
      <w:r w:rsidR="00B175E1">
        <w:t xml:space="preserve"> model.</w:t>
      </w:r>
    </w:p>
    <w:p w14:paraId="2D254239" w14:textId="77777777" w:rsidR="002B1B4F" w:rsidRPr="003977F1" w:rsidRDefault="002B1B4F">
      <w:pPr>
        <w:spacing w:before="60" w:after="60"/>
      </w:pPr>
    </w:p>
    <w:p w14:paraId="60AB0A49" w14:textId="310C2D47" w:rsidR="00C10388" w:rsidRDefault="00000000" w:rsidP="00772621">
      <w:pPr>
        <w:pStyle w:val="Heading2"/>
      </w:pPr>
      <w:r>
        <w:t>2.1 Domain, Governing Equations, and Geometry</w:t>
      </w:r>
    </w:p>
    <w:p w14:paraId="018B1BF6" w14:textId="77777777" w:rsidR="00772621" w:rsidRDefault="00772621" w:rsidP="00772621">
      <w:pPr>
        <w:spacing w:before="30" w:after="30"/>
      </w:pPr>
    </w:p>
    <w:p w14:paraId="10C41C87" w14:textId="3E782343" w:rsidR="008C773D" w:rsidRDefault="00772621" w:rsidP="008C773D">
      <w:pPr>
        <w:spacing w:before="30" w:after="30"/>
      </w:pPr>
      <w:r>
        <w:t>We model a 1D boundary layer at the cathode, in which we neglect convection and only consider diffusion and migration</w:t>
      </w:r>
      <w:r w:rsidR="004B40E0">
        <w:t xml:space="preserve"> contributions to species transport. The model domain is </w:t>
      </w:r>
      <w:r w:rsidR="004B40E0">
        <w:t xml:space="preserve">x ∈ [0,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</m:oMath>
      <w:r w:rsidR="004B40E0">
        <w:t>]</w:t>
      </w:r>
      <w:r w:rsidR="004B40E0">
        <w:t xml:space="preserve"> where the origin is the Cd catalyst surface</w:t>
      </w:r>
      <w:r w:rsidR="00F87C5B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</m:oMath>
      <w:r w:rsidR="008C773D">
        <w:t xml:space="preserve"> </w:t>
      </w:r>
      <w:r w:rsidR="00F87C5B">
        <w:t xml:space="preserve">is the </w:t>
      </w:r>
      <w:r w:rsidR="00D55F7B" w:rsidRPr="00F87C5B">
        <w:t>Lévêque</w:t>
      </w:r>
      <w:r w:rsidR="00D55F7B">
        <w:t xml:space="preserve"> </w:t>
      </w:r>
      <w:r w:rsidR="00F87C5B">
        <w:t>boundary layer distance</w:t>
      </w:r>
      <w:r w:rsidR="00D55F7B">
        <w:t xml:space="preserve"> where concentration gradients </w:t>
      </w:r>
      <w:r w:rsidR="00C607B8">
        <w:t>end</w:t>
      </w:r>
      <w:r w:rsidR="008C773D"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</m:oMath>
      <w:r w:rsidR="008C773D">
        <w:t xml:space="preserve"> i</w:t>
      </w:r>
      <w:r w:rsidR="003836F9">
        <w:t>s derived from the Sherwood number for this system:</w:t>
      </w:r>
    </w:p>
    <w:p w14:paraId="30AF4AE0" w14:textId="77777777" w:rsidR="008C773D" w:rsidRDefault="008C773D" w:rsidP="008C773D">
      <w:pPr>
        <w:spacing w:before="30" w:after="30"/>
      </w:pPr>
    </w:p>
    <w:p w14:paraId="241AC475" w14:textId="48797806" w:rsidR="003836F9" w:rsidRDefault="003836F9" w:rsidP="003836F9">
      <w:pPr>
        <w:tabs>
          <w:tab w:val="right" w:pos="9000"/>
        </w:tabs>
        <w:spacing w:before="80" w:after="80"/>
        <w:jc w:val="center"/>
      </w:pPr>
      <m:oMathPara>
        <m:oMath>
          <m:r>
            <w:rPr>
              <w:rFonts w:ascii="Cambria Math" w:hAnsi="Cambria Math"/>
            </w:rPr>
            <m:t xml:space="preserve">Sh = 1.85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Re·Sc·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/L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1/3</m:t>
              </m:r>
            </m:sup>
          </m:sSup>
        </m:oMath>
      </m:oMathPara>
    </w:p>
    <w:p w14:paraId="1B2AEF99" w14:textId="77777777" w:rsidR="003836F9" w:rsidRDefault="003836F9" w:rsidP="003836F9">
      <w:pPr>
        <w:tabs>
          <w:tab w:val="right" w:pos="9000"/>
        </w:tabs>
        <w:spacing w:before="80" w:after="80"/>
        <w:jc w:val="center"/>
      </w:pPr>
    </w:p>
    <w:p w14:paraId="31EF808A" w14:textId="1DE2A6EF" w:rsidR="003836F9" w:rsidRDefault="003836F9" w:rsidP="003836F9">
      <w:pPr>
        <w:tabs>
          <w:tab w:val="right" w:pos="9000"/>
        </w:tabs>
        <w:spacing w:before="80" w:after="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lev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Sh</m:t>
              </m:r>
            </m:den>
          </m:f>
        </m:oMath>
      </m:oMathPara>
    </w:p>
    <w:p w14:paraId="3A4F3C53" w14:textId="77777777" w:rsidR="003836F9" w:rsidRDefault="003836F9" w:rsidP="008C773D">
      <w:pPr>
        <w:spacing w:before="30" w:after="30"/>
      </w:pPr>
    </w:p>
    <w:p w14:paraId="72FFE10F" w14:textId="261300D2" w:rsidR="00F87C5B" w:rsidRDefault="00F87C5B" w:rsidP="008C773D">
      <w:pPr>
        <w:spacing w:before="30" w:after="30"/>
      </w:pPr>
      <w:r w:rsidRPr="00F87C5B">
        <w:t>Lévêque's specific result is that for laminar flow with a linear shear-velocity profile near the wall (valid when the momentum boundary layer is much thicker than the concentration one — high Schmidt number, which our Sc ≈ 435 satisfies)</w:t>
      </w:r>
      <w:r w:rsidR="00136665">
        <w:t>.</w:t>
      </w:r>
      <w:r w:rsidR="00101F13">
        <w:t xml:space="preserve"> This relationship is important for mapping experimental conditions</w:t>
      </w:r>
      <w:r w:rsidR="0029184D">
        <w:t xml:space="preserve"> to our model, linking flow rate and reactor geometry to boundary layer thickness.</w:t>
      </w:r>
    </w:p>
    <w:p w14:paraId="6714CA57" w14:textId="77777777" w:rsidR="00981E37" w:rsidRDefault="00981E37" w:rsidP="008C773D">
      <w:pPr>
        <w:spacing w:before="30" w:after="30"/>
      </w:pPr>
    </w:p>
    <w:p w14:paraId="4F4C174B" w14:textId="77777777" w:rsidR="00981E37" w:rsidRDefault="00981E37" w:rsidP="008C773D">
      <w:pPr>
        <w:spacing w:before="30" w:after="30"/>
      </w:pPr>
    </w:p>
    <w:p w14:paraId="4C18C7E6" w14:textId="77777777" w:rsidR="00772621" w:rsidRDefault="00772621" w:rsidP="00772621">
      <w:pPr>
        <w:spacing w:before="30" w:after="30"/>
      </w:pPr>
    </w:p>
    <w:p w14:paraId="693C8DD7" w14:textId="77777777" w:rsidR="0065764A" w:rsidRDefault="00000000" w:rsidP="00C25B40">
      <w:pPr>
        <w:pStyle w:val="ListParagraph"/>
        <w:numPr>
          <w:ilvl w:val="0"/>
          <w:numId w:val="2"/>
        </w:numPr>
        <w:spacing w:before="30" w:after="30"/>
      </w:pPr>
      <w:r>
        <w:t xml:space="preserve">The Lévêque correlation maps the total volumetric flow rate </w:t>
      </w:r>
      <w:proofErr w:type="spellStart"/>
      <w:r>
        <w:t>Q_total</w:t>
      </w:r>
      <w:proofErr w:type="spellEnd"/>
      <w:r>
        <w:t xml:space="preserve"> and gap to the boundary-layer thickness </w:t>
      </w:r>
      <w:proofErr w:type="spellStart"/>
      <w:r>
        <w:t>δ_lev</w:t>
      </w:r>
      <w:proofErr w:type="spellEnd"/>
      <w:r>
        <w:t>:</w:t>
      </w:r>
      <w:r w:rsidR="00C25B40">
        <w:t xml:space="preserve"> </w:t>
      </w:r>
      <w:r>
        <w:t xml:space="preserve">with </w:t>
      </w:r>
      <w:proofErr w:type="spellStart"/>
      <w:r>
        <w:t>δ_lev</w:t>
      </w:r>
      <w:proofErr w:type="spellEnd"/>
      <w:r>
        <w:t xml:space="preserve"> ranging 60-310 </w:t>
      </w:r>
      <w:proofErr w:type="spellStart"/>
      <w:r>
        <w:t>μm</w:t>
      </w:r>
      <w:proofErr w:type="spellEnd"/>
      <w:r>
        <w:t xml:space="preserve"> across the 162-row dataset. </w:t>
      </w:r>
    </w:p>
    <w:p w14:paraId="42CD2DCB" w14:textId="77777777" w:rsidR="0065764A" w:rsidRDefault="0065764A" w:rsidP="0065764A">
      <w:pPr>
        <w:spacing w:before="30" w:after="30"/>
      </w:pPr>
    </w:p>
    <w:p w14:paraId="18FEADE3" w14:textId="7D966D67" w:rsidR="00C25B40" w:rsidRDefault="00000000" w:rsidP="0065764A">
      <w:pPr>
        <w:spacing w:before="30" w:after="30"/>
      </w:pPr>
      <w:r>
        <w:t xml:space="preserve">The steady-state, dilute-solution Nernst-Planck transport equations for each species </w:t>
      </w:r>
      <w:proofErr w:type="spellStart"/>
      <w:r w:rsidRPr="00F450E2">
        <w:rPr>
          <w:i/>
          <w:iCs/>
        </w:rPr>
        <w:t>i</w:t>
      </w:r>
      <w:proofErr w:type="spellEnd"/>
      <w:r>
        <w:t xml:space="preserve"> are</w:t>
      </w:r>
      <w:r w:rsidR="00F450E2">
        <w:t>:</w:t>
      </w:r>
    </w:p>
    <w:p w14:paraId="23C8964D" w14:textId="77777777" w:rsidR="00C25B40" w:rsidRDefault="00C25B40" w:rsidP="00C25B40">
      <w:pPr>
        <w:spacing w:before="30" w:after="30"/>
      </w:pPr>
    </w:p>
    <w:p w14:paraId="577E8D9A" w14:textId="1149F553" w:rsidR="00ED2733" w:rsidRPr="00F450E2" w:rsidRDefault="00000000">
      <w:pPr>
        <w:tabs>
          <w:tab w:val="right" w:pos="9000"/>
        </w:tabs>
        <w:spacing w:before="80" w:after="8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i,vol</m:t>
              </m:r>
            </m:sub>
          </m:sSub>
        </m:oMath>
      </m:oMathPara>
    </w:p>
    <w:p w14:paraId="29EEBDAF" w14:textId="77777777" w:rsidR="00F450E2" w:rsidRDefault="00F450E2">
      <w:pPr>
        <w:tabs>
          <w:tab w:val="right" w:pos="9000"/>
        </w:tabs>
        <w:spacing w:before="80" w:after="80"/>
        <w:jc w:val="center"/>
      </w:pPr>
    </w:p>
    <w:p w14:paraId="2D0B3D57" w14:textId="178AE7C6" w:rsidR="00ED2733" w:rsidRPr="00F450E2" w:rsidRDefault="00000000">
      <w:pPr>
        <w:tabs>
          <w:tab w:val="right" w:pos="9000"/>
        </w:tabs>
        <w:spacing w:before="80" w:after="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 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i,mix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∂x</m:t>
                  </m:r>
                </m:den>
              </m:f>
              <m:r>
                <w:rPr>
                  <w:rFonts w:ascii="Cambria Math" w:hAnsi="Cambria Math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F 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RT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∂x</m:t>
                  </m:r>
                </m:den>
              </m:f>
            </m:e>
          </m:d>
        </m:oMath>
      </m:oMathPara>
    </w:p>
    <w:p w14:paraId="0AD8D019" w14:textId="77777777" w:rsidR="00F450E2" w:rsidRDefault="00F450E2" w:rsidP="00F450E2">
      <w:pPr>
        <w:tabs>
          <w:tab w:val="right" w:pos="9000"/>
        </w:tabs>
        <w:spacing w:before="80" w:after="80"/>
      </w:pPr>
    </w:p>
    <w:p w14:paraId="056B5497" w14:textId="320A81C4" w:rsidR="00F450E2" w:rsidRPr="00A205FB" w:rsidRDefault="00F450E2" w:rsidP="00F450E2">
      <w:pPr>
        <w:tabs>
          <w:tab w:val="right" w:pos="9000"/>
        </w:tabs>
        <w:spacing w:before="80" w:after="80"/>
      </w:pPr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is species flux</w:t>
      </w:r>
      <w:r w:rsidR="004C5A44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i,vol</m:t>
            </m:r>
          </m:sub>
        </m:sSub>
      </m:oMath>
      <w:r w:rsidR="004C5A44">
        <w:t xml:space="preserve"> refers to volumetric reactions (buffer reactions),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i,mix</m:t>
            </m:r>
          </m:sub>
        </m:sSub>
      </m:oMath>
      <w:r w:rsidR="00E6205E">
        <w:t xml:space="preserve"> is the </w:t>
      </w:r>
      <w:r w:rsidR="00A205FB">
        <w:t xml:space="preserve">effective mixture diffusivity (approximated as arithmetic mean based on </w:t>
      </w:r>
      <w:proofErr w:type="spellStart"/>
      <w:r w:rsidR="00A205FB">
        <w:t>ε</w:t>
      </w:r>
      <w:r w:rsidR="00A205FB" w:rsidRPr="00696E79">
        <w:rPr>
          <w:vertAlign w:val="subscript"/>
        </w:rPr>
        <w:t>org</w:t>
      </w:r>
      <w:proofErr w:type="spellEnd"/>
      <w:r w:rsidR="00A205FB">
        <w:t xml:space="preserve">), and the rest are standard </w:t>
      </w:r>
      <w:r w:rsidR="00AA0A4B">
        <w:t xml:space="preserve">notation. </w:t>
      </w:r>
    </w:p>
    <w:p w14:paraId="2796A172" w14:textId="77777777" w:rsidR="00F450E2" w:rsidRDefault="00F450E2" w:rsidP="00F450E2">
      <w:pPr>
        <w:tabs>
          <w:tab w:val="right" w:pos="9000"/>
        </w:tabs>
        <w:spacing w:before="80" w:after="80"/>
      </w:pPr>
    </w:p>
    <w:p w14:paraId="233CF7C4" w14:textId="77777777" w:rsidR="00ED2733" w:rsidRDefault="00000000">
      <w:pPr>
        <w:spacing w:before="60" w:after="60"/>
      </w:pPr>
      <w:r>
        <w:t>Current conservation closes the system:</w:t>
      </w:r>
    </w:p>
    <w:p w14:paraId="74F9E6C7" w14:textId="6B422704" w:rsidR="00ED2733" w:rsidRDefault="00000000">
      <w:pPr>
        <w:tabs>
          <w:tab w:val="right" w:pos="9000"/>
        </w:tabs>
        <w:spacing w:before="80" w:after="8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∂i</m:t>
              </m:r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= 0,    i = F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3217528F" w14:textId="77777777" w:rsidR="00ED2733" w:rsidRDefault="00000000">
      <w:pPr>
        <w:pStyle w:val="Heading2"/>
      </w:pPr>
      <w:r>
        <w:t>2.2 Species and Degree-of-Freedom Layout</w:t>
      </w:r>
    </w:p>
    <w:p w14:paraId="6B60DDFF" w14:textId="77777777" w:rsidR="004F6878" w:rsidRDefault="004F6878">
      <w:pPr>
        <w:spacing w:before="60" w:after="60"/>
      </w:pPr>
    </w:p>
    <w:p w14:paraId="15AF453A" w14:textId="48CA4495" w:rsidR="004F6878" w:rsidRPr="004F6878" w:rsidRDefault="004F6878" w:rsidP="004F6878">
      <w:pPr>
        <w:spacing w:before="60" w:after="60"/>
      </w:pPr>
      <w:r w:rsidRPr="004F6878">
        <w:t>The model tracks 10 dissolved species — nine are independent unknowns; Na</w:t>
      </w:r>
      <w:r w:rsidRPr="004F6878">
        <w:rPr>
          <w:rFonts w:ascii="Cambria Math" w:hAnsi="Cambria Math" w:cs="Cambria Math"/>
        </w:rPr>
        <w:t>⁺</w:t>
      </w:r>
      <w:r w:rsidRPr="004F6878">
        <w:t xml:space="preserve"> is computed</w:t>
      </w:r>
    </w:p>
    <w:p w14:paraId="113DF67D" w14:textId="2C059FB8" w:rsidR="005F01DC" w:rsidRPr="005F01DC" w:rsidRDefault="004F6878" w:rsidP="005F01DC">
      <w:pPr>
        <w:spacing w:before="60" w:after="60"/>
      </w:pPr>
      <w:r w:rsidRPr="004F6878">
        <w:t>from electroneutrality</w:t>
      </w:r>
      <w:r w:rsidR="00246D8A">
        <w:t xml:space="preserve"> (Table X)</w:t>
      </w:r>
      <w:r w:rsidR="005F01DC">
        <w:t xml:space="preserve">. </w:t>
      </w:r>
      <w:proofErr w:type="spellStart"/>
      <w:r w:rsidR="005F01DC" w:rsidRPr="005F01DC">
        <w:t>φ_l</w:t>
      </w:r>
      <w:proofErr w:type="spellEnd"/>
      <w:r w:rsidR="005F01DC">
        <w:t xml:space="preserve"> is the tenth DOF</w:t>
      </w:r>
      <w:r w:rsidR="00133DD3">
        <w:t>. With 10 DOFs per cell and 100 cells, the entire model contains 1000 DOFs</w:t>
      </w:r>
      <w:r w:rsidR="00AA7EBE">
        <w:t>.</w:t>
      </w:r>
    </w:p>
    <w:p w14:paraId="7FFF782B" w14:textId="1125C672" w:rsidR="004F6878" w:rsidRPr="004F6878" w:rsidRDefault="004F6878" w:rsidP="004F6878">
      <w:pPr>
        <w:spacing w:before="60" w:after="60"/>
      </w:pPr>
    </w:p>
    <w:p w14:paraId="47874061" w14:textId="77777777" w:rsidR="004F6878" w:rsidRDefault="004F6878">
      <w:pPr>
        <w:spacing w:before="60" w:after="60"/>
      </w:pPr>
    </w:p>
    <w:p w14:paraId="43C711F0" w14:textId="7E3161F0" w:rsidR="00ED2733" w:rsidRDefault="00000000">
      <w:pPr>
        <w:spacing w:before="60" w:after="60"/>
      </w:pPr>
      <w:r>
        <w:t>9 species: H⁺, OH⁻, H₂PO₄⁻, HPO₄²⁻, PO₄³⁻, AN, ADPN, PN, TCH. Cell-major DOF ordering: 10 DOFs/cell × 100 cells = 1000 unknowns. Banded Jacobian half-bandwidth = 19; 39 colors used for sparse finite-difference assembly.</w:t>
      </w:r>
    </w:p>
    <w:p w14:paraId="1D1E8BFD" w14:textId="13EB422E" w:rsidR="00A344C4" w:rsidRDefault="00006A2F">
      <w:pPr>
        <w:spacing w:before="60" w:after="60"/>
      </w:pPr>
      <w:r>
        <w:rPr>
          <w:noProof/>
        </w:rPr>
        <w:lastRenderedPageBreak/>
        <w:drawing>
          <wp:inline distT="0" distB="0" distL="0" distR="0" wp14:anchorId="43569A21" wp14:editId="643CCC1B">
            <wp:extent cx="5943600" cy="4511675"/>
            <wp:effectExtent l="0" t="0" r="0" b="0"/>
            <wp:docPr id="198638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82182" name="Picture 198638218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03CC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t xml:space="preserve">[ Insert Table 1: Species + DOF summary — index, species, charge </w:t>
      </w:r>
      <w:proofErr w:type="spellStart"/>
      <w:r>
        <w:rPr>
          <w:i/>
          <w:iCs/>
          <w:color w:val="595959"/>
          <w:sz w:val="20"/>
          <w:szCs w:val="20"/>
        </w:rPr>
        <w:t>z_i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c_bulk</w:t>
      </w:r>
      <w:proofErr w:type="spellEnd"/>
      <w:r>
        <w:rPr>
          <w:i/>
          <w:iCs/>
          <w:color w:val="595959"/>
          <w:sz w:val="20"/>
          <w:szCs w:val="20"/>
        </w:rPr>
        <w:t>. ]</w:t>
      </w:r>
    </w:p>
    <w:p w14:paraId="19867A42" w14:textId="77777777" w:rsidR="00ED2733" w:rsidRDefault="00000000">
      <w:pPr>
        <w:pStyle w:val="Heading2"/>
      </w:pPr>
      <w:r>
        <w:t>2.3 Tafel Kinetics — Four Cathodic Reactions</w:t>
      </w:r>
    </w:p>
    <w:p w14:paraId="570D04F3" w14:textId="77777777" w:rsidR="00ED2733" w:rsidRDefault="00000000">
      <w:pPr>
        <w:spacing w:before="60" w:after="60"/>
      </w:pPr>
      <w:r>
        <w:t>Four cathodic Faradaic reactions are modelled at the Cd electrode:</w:t>
      </w:r>
    </w:p>
    <w:p w14:paraId="2983C95A" w14:textId="77777777" w:rsidR="00ED2733" w:rsidRPr="00C10388" w:rsidRDefault="00000000">
      <w:pPr>
        <w:tabs>
          <w:tab w:val="right" w:pos="9000"/>
        </w:tabs>
        <w:spacing w:before="80" w:after="80"/>
        <w:jc w:val="center"/>
        <w:rPr>
          <w:lang w:val="pt-BR"/>
        </w:rPr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pt-BR"/>
          </w:rPr>
          <m:t xml:space="preserve">1:    2 </m:t>
        </m:r>
        <m:r>
          <w:rPr>
            <w:rFonts w:ascii="Cambria Math" w:hAnsi="Cambria Math"/>
          </w:rPr>
          <m:t>AN</m:t>
        </m:r>
        <m:r>
          <w:rPr>
            <w:rFonts w:ascii="Cambria Math" w:hAnsi="Cambria Math"/>
            <w:lang w:val="pt-BR"/>
          </w:rPr>
          <m:t xml:space="preserve"> + 2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-</m:t>
            </m:r>
          </m:sup>
        </m:sSup>
        <m:r>
          <w:rPr>
            <w:rFonts w:ascii="Cambria Math" w:hAnsi="Cambria Math"/>
            <w:lang w:val="pt-BR"/>
          </w:rPr>
          <m:t xml:space="preserve"> → </m:t>
        </m:r>
        <m:r>
          <w:rPr>
            <w:rFonts w:ascii="Cambria Math" w:hAnsi="Cambria Math"/>
          </w:rPr>
          <m:t>ADPN</m:t>
        </m:r>
      </m:oMath>
      <w:r w:rsidRPr="00C10388">
        <w:rPr>
          <w:lang w:val="pt-BR"/>
        </w:rPr>
        <w:tab/>
        <w:t>(R1)</w:t>
      </w:r>
    </w:p>
    <w:p w14:paraId="3FD04AD3" w14:textId="77777777" w:rsidR="00ED2733" w:rsidRPr="00C10388" w:rsidRDefault="00000000">
      <w:pPr>
        <w:tabs>
          <w:tab w:val="right" w:pos="9000"/>
        </w:tabs>
        <w:spacing w:before="80" w:after="80"/>
        <w:jc w:val="center"/>
        <w:rPr>
          <w:lang w:val="pt-BR"/>
        </w:rPr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pt-BR"/>
          </w:rPr>
          <m:t xml:space="preserve">2:    </m:t>
        </m:r>
        <m:r>
          <w:rPr>
            <w:rFonts w:ascii="Cambria Math" w:hAnsi="Cambria Math"/>
          </w:rPr>
          <m:t>AN</m:t>
        </m:r>
        <m:r>
          <w:rPr>
            <w:rFonts w:ascii="Cambria Math" w:hAnsi="Cambria Math"/>
            <w:lang w:val="pt-BR"/>
          </w:rPr>
          <m:t xml:space="preserve"> + 2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-</m:t>
            </m:r>
          </m:sup>
        </m:sSup>
        <m:r>
          <w:rPr>
            <w:rFonts w:ascii="Cambria Math" w:hAnsi="Cambria Math"/>
            <w:lang w:val="pt-BR"/>
          </w:rPr>
          <m:t xml:space="preserve"> +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pt-BR"/>
              </w:rPr>
              <m:t>+</m:t>
            </m:r>
          </m:sup>
        </m:sSup>
        <m:r>
          <w:rPr>
            <w:rFonts w:ascii="Cambria Math" w:hAnsi="Cambria Math"/>
            <w:lang w:val="pt-BR"/>
          </w:rPr>
          <m:t xml:space="preserve"> → </m:t>
        </m:r>
        <m:r>
          <w:rPr>
            <w:rFonts w:ascii="Cambria Math" w:hAnsi="Cambria Math"/>
          </w:rPr>
          <m:t>PN</m:t>
        </m:r>
      </m:oMath>
      <w:r w:rsidRPr="00C10388">
        <w:rPr>
          <w:lang w:val="pt-BR"/>
        </w:rPr>
        <w:tab/>
        <w:t>(R2)</w:t>
      </w:r>
    </w:p>
    <w:p w14:paraId="34D36548" w14:textId="77777777" w:rsidR="00ED2733" w:rsidRPr="00C10388" w:rsidRDefault="00000000">
      <w:pPr>
        <w:tabs>
          <w:tab w:val="right" w:pos="9000"/>
        </w:tabs>
        <w:spacing w:before="80" w:after="80"/>
        <w:jc w:val="center"/>
        <w:rPr>
          <w:lang w:val="pt-BR"/>
        </w:rPr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pt-BR"/>
          </w:rPr>
          <m:t xml:space="preserve">3:    2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pt-BR"/>
              </w:rPr>
              <m:t>2</m:t>
            </m:r>
          </m:sub>
        </m:sSub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pt-BR"/>
          </w:rPr>
          <m:t xml:space="preserve"> + 2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-</m:t>
            </m:r>
          </m:sup>
        </m:sSup>
        <m:r>
          <w:rPr>
            <w:rFonts w:ascii="Cambria Math" w:hAnsi="Cambria Math"/>
            <w:lang w:val="pt-BR"/>
          </w:rPr>
          <m:t xml:space="preserve"> →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pt-BR"/>
              </w:rPr>
              <m:t>2</m:t>
            </m:r>
          </m:sub>
        </m:sSub>
        <m:r>
          <w:rPr>
            <w:rFonts w:ascii="Cambria Math" w:hAnsi="Cambria Math"/>
            <w:lang w:val="pt-BR"/>
          </w:rPr>
          <m:t xml:space="preserve"> + 2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OH</m:t>
            </m:r>
          </m:e>
          <m:sup>
            <m:r>
              <w:rPr>
                <w:rFonts w:ascii="Cambria Math" w:hAnsi="Cambria Math"/>
                <w:lang w:val="pt-BR"/>
              </w:rPr>
              <m:t>-</m:t>
            </m:r>
          </m:sup>
        </m:sSup>
      </m:oMath>
      <w:r w:rsidRPr="00C10388">
        <w:rPr>
          <w:lang w:val="pt-BR"/>
        </w:rPr>
        <w:tab/>
        <w:t>(R3)</w:t>
      </w:r>
    </w:p>
    <w:p w14:paraId="2CE152D3" w14:textId="77777777" w:rsidR="00ED2733" w:rsidRPr="00C10388" w:rsidRDefault="00000000">
      <w:pPr>
        <w:tabs>
          <w:tab w:val="right" w:pos="9000"/>
        </w:tabs>
        <w:spacing w:before="80" w:after="80"/>
        <w:jc w:val="center"/>
        <w:rPr>
          <w:lang w:val="pt-BR"/>
        </w:rPr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pt-BR"/>
          </w:rPr>
          <m:t xml:space="preserve">4:    3 </m:t>
        </m:r>
        <m:r>
          <w:rPr>
            <w:rFonts w:ascii="Cambria Math" w:hAnsi="Cambria Math"/>
          </w:rPr>
          <m:t>AN</m:t>
        </m:r>
        <m:r>
          <w:rPr>
            <w:rFonts w:ascii="Cambria Math" w:hAnsi="Cambria Math"/>
            <w:lang w:val="pt-BR"/>
          </w:rPr>
          <m:t xml:space="preserve"> + 2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-</m:t>
            </m:r>
          </m:sup>
        </m:sSup>
        <m:r>
          <w:rPr>
            <w:rFonts w:ascii="Cambria Math" w:hAnsi="Cambria Math"/>
            <w:lang w:val="pt-BR"/>
          </w:rPr>
          <m:t xml:space="preserve"> → </m:t>
        </m:r>
        <m:r>
          <w:rPr>
            <w:rFonts w:ascii="Cambria Math" w:hAnsi="Cambria Math"/>
          </w:rPr>
          <m:t>TCH</m:t>
        </m:r>
      </m:oMath>
      <w:r w:rsidRPr="00C10388">
        <w:rPr>
          <w:lang w:val="pt-BR"/>
        </w:rPr>
        <w:tab/>
        <w:t>(R4)</w:t>
      </w:r>
    </w:p>
    <w:p w14:paraId="5B33300F" w14:textId="77777777" w:rsidR="00ED2733" w:rsidRDefault="00000000">
      <w:pPr>
        <w:spacing w:before="60" w:after="60"/>
      </w:pPr>
      <w:r>
        <w:t>Each reaction r ∈ {1, 2, 3, 4} carries a Tafel rate law</w:t>
      </w:r>
    </w:p>
    <w:p w14:paraId="55C78D42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0,r</m:t>
            </m:r>
          </m:sub>
        </m:sSub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ref</m:t>
                        </m:r>
                      </m:sub>
                    </m:sSub>
                  </m:den>
                </m:f>
              </m:e>
            </m:d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p>
        </m:sSup>
        <m:r>
          <w:rPr>
            <w:rFonts w:ascii="Cambria Math" w:hAnsi="Cambria Math"/>
          </w:rPr>
          <m:t xml:space="preserve"> 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c,r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F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RT</m:t>
                </m:r>
              </m:den>
            </m:f>
          </m:e>
        </m:d>
      </m:oMath>
      <w:r>
        <w:tab/>
        <w:t>(6)</w:t>
      </w:r>
    </w:p>
    <w:p w14:paraId="638306B3" w14:textId="77777777" w:rsidR="00ED2733" w:rsidRDefault="00000000">
      <w:pPr>
        <w:spacing w:before="60" w:after="60"/>
      </w:pPr>
      <w:r>
        <w:t xml:space="preserve">with overpotential </w:t>
      </w:r>
      <w:proofErr w:type="spellStart"/>
      <w:r>
        <w:t>η_r</w:t>
      </w:r>
      <w:proofErr w:type="spellEnd"/>
      <w:r>
        <w:t xml:space="preserve"> = V − </w:t>
      </w:r>
      <w:proofErr w:type="spellStart"/>
      <w:r>
        <w:t>E°_r</w:t>
      </w:r>
      <w:proofErr w:type="spellEnd"/>
      <w:r>
        <w:t xml:space="preserve"> for the half-reaction's standard potential </w:t>
      </w:r>
      <w:proofErr w:type="spellStart"/>
      <w:r>
        <w:t>E°_r</w:t>
      </w:r>
      <w:proofErr w:type="spellEnd"/>
      <w:r>
        <w:t xml:space="preserve">. The AN reaction orders </w:t>
      </w:r>
      <w:proofErr w:type="spellStart"/>
      <w:r>
        <w:t>n_ADN</w:t>
      </w:r>
      <w:proofErr w:type="spellEnd"/>
      <w:r>
        <w:t xml:space="preserve">, </w:t>
      </w:r>
      <w:proofErr w:type="spellStart"/>
      <w:r>
        <w:t>n_PN</w:t>
      </w:r>
      <w:proofErr w:type="spellEnd"/>
      <w:r>
        <w:t xml:space="preserve">, </w:t>
      </w:r>
      <w:proofErr w:type="spellStart"/>
      <w:r>
        <w:t>n_TCH</w:t>
      </w:r>
      <w:proofErr w:type="spellEnd"/>
      <w:r>
        <w:t xml:space="preserve"> are fit parameters, not fixed at textbook molecularity (n = 2, 1, 3 respectively). This is the key methodological choice driving the diagnostic findings of §3. HER (R3) is independent of AN, so </w:t>
      </w:r>
      <w:proofErr w:type="spellStart"/>
      <w:r>
        <w:t>c_AN</w:t>
      </w:r>
      <w:proofErr w:type="spellEnd"/>
      <w:r>
        <w:t xml:space="preserve"> appears only in R1, R2, R4.</w:t>
      </w:r>
    </w:p>
    <w:p w14:paraId="34A4E62E" w14:textId="77777777" w:rsidR="00ED2733" w:rsidRDefault="00000000">
      <w:pPr>
        <w:pStyle w:val="Heading2"/>
      </w:pPr>
      <w:r>
        <w:t>2.4 Boundary Conditions</w:t>
      </w:r>
    </w:p>
    <w:p w14:paraId="351F54CB" w14:textId="77777777" w:rsidR="00ED2733" w:rsidRDefault="00000000">
      <w:pPr>
        <w:spacing w:before="60" w:after="60"/>
      </w:pPr>
      <w:r>
        <w:t>At the electrode (x = 0), Neumann conditions tie species fluxes to the four Faradaic currents:</w:t>
      </w:r>
    </w:p>
    <w:p w14:paraId="0E04C0AC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OH</m:t>
            </m:r>
          </m:sub>
        </m:sSub>
        <m:r>
          <w:rPr>
            <w:rFonts w:ascii="Cambria Math" w:hAnsi="Cambria Math"/>
          </w:rPr>
          <m:t xml:space="preserve">(0) = +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 +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 xml:space="preserve"> +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r>
              <w:rPr>
                <w:rFonts w:ascii="Cambria Math" w:hAnsi="Cambria Math"/>
              </w:rPr>
              <m:t>F</m:t>
            </m:r>
          </m:den>
        </m:f>
      </m:oMath>
      <w:r>
        <w:tab/>
        <w:t>(7)</w:t>
      </w:r>
    </w:p>
    <w:p w14:paraId="6760408D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AN</m:t>
            </m:r>
          </m:sub>
        </m:sSub>
        <m:r>
          <w:rPr>
            <w:rFonts w:ascii="Cambria Math" w:hAnsi="Cambria Math"/>
          </w:rPr>
          <m:t xml:space="preserve">(0) = -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 +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+ 3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r>
              <w:rPr>
                <w:rFonts w:ascii="Cambria Math" w:hAnsi="Cambria Math"/>
              </w:rPr>
              <m:t>2 F</m:t>
            </m:r>
          </m:den>
        </m:f>
      </m:oMath>
      <w:r>
        <w:tab/>
        <w:t>(8)</w:t>
      </w:r>
    </w:p>
    <w:p w14:paraId="729958A8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ADPN</m:t>
            </m:r>
          </m:sub>
        </m:sSub>
        <m:r>
          <w:rPr>
            <w:rFonts w:ascii="Cambria Math" w:hAnsi="Cambria Math"/>
          </w:rPr>
          <m:t xml:space="preserve">(0)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</w:rPr>
              <m:t>2 F</m:t>
            </m:r>
          </m:den>
        </m:f>
        <m:r>
          <w:rPr>
            <w:rFonts w:ascii="Cambria Math" w:hAnsi="Cambria Math"/>
          </w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PN</m:t>
            </m:r>
          </m:sub>
        </m:sSub>
        <m:r>
          <w:rPr>
            <w:rFonts w:ascii="Cambria Math" w:hAnsi="Cambria Math"/>
          </w:rPr>
          <m:t xml:space="preserve">(0)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2 F</m:t>
            </m:r>
          </m:den>
        </m:f>
        <m:r>
          <w:rPr>
            <w:rFonts w:ascii="Cambria Math" w:hAnsi="Cambria Math"/>
          </w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TCH</m:t>
            </m:r>
          </m:sub>
        </m:sSub>
        <m:r>
          <w:rPr>
            <w:rFonts w:ascii="Cambria Math" w:hAnsi="Cambria Math"/>
          </w:rPr>
          <m:t xml:space="preserve">(0)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r>
              <w:rPr>
                <w:rFonts w:ascii="Cambria Math" w:hAnsi="Cambria Math"/>
              </w:rPr>
              <m:t>2 F</m:t>
            </m:r>
          </m:den>
        </m:f>
      </m:oMath>
      <w:r>
        <w:tab/>
        <w:t>(9)</w:t>
      </w:r>
    </w:p>
    <w:p w14:paraId="7FEB1366" w14:textId="77777777" w:rsidR="00ED2733" w:rsidRDefault="00000000">
      <w:pPr>
        <w:spacing w:before="60" w:after="60"/>
      </w:pPr>
      <w:r>
        <w:t xml:space="preserve">At the bulk edge (x = </w:t>
      </w:r>
      <w:proofErr w:type="spellStart"/>
      <w:r>
        <w:t>δ_lev</w:t>
      </w:r>
      <w:proofErr w:type="spellEnd"/>
      <w:r>
        <w:t>) Dirichlet conditions are applied on log(</w:t>
      </w:r>
      <w:proofErr w:type="spellStart"/>
      <w:r>
        <w:t>c_bulk</w:t>
      </w:r>
      <w:proofErr w:type="spellEnd"/>
      <w:r>
        <w:t>) and the liquid-phase potential is referenced to zero:</w:t>
      </w:r>
    </w:p>
    <w:p w14:paraId="78541F52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  <m:r>
          <w:rPr>
            <w:rFonts w:ascii="Cambria Math" w:hAnsi="Cambria Math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i,bulk</m:t>
            </m:r>
          </m:sub>
        </m:sSub>
        <m:r>
          <w:rPr>
            <w:rFonts w:ascii="Cambria Math" w:hAnsi="Cambria Math"/>
          </w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lev</m:t>
            </m:r>
          </m:sub>
        </m:sSub>
        <m:r>
          <w:rPr>
            <w:rFonts w:ascii="Cambria Math" w:hAnsi="Cambria Math"/>
          </w:rPr>
          <m:t>) = 0</m:t>
        </m:r>
      </m:oMath>
      <w:r>
        <w:tab/>
        <w:t>(10)</w:t>
      </w:r>
    </w:p>
    <w:p w14:paraId="4E4282F3" w14:textId="77777777" w:rsidR="00ED2733" w:rsidRDefault="00000000">
      <w:pPr>
        <w:pStyle w:val="Heading2"/>
      </w:pPr>
      <w:r>
        <w:t>2.5 Numerical Methods</w:t>
      </w:r>
    </w:p>
    <w:p w14:paraId="68A68F59" w14:textId="77777777" w:rsidR="00ED2733" w:rsidRDefault="00000000">
      <w:pPr>
        <w:pStyle w:val="Heading3"/>
      </w:pPr>
      <w:r>
        <w:t xml:space="preserve">2.5.1 Spatial </w:t>
      </w:r>
      <w:proofErr w:type="spellStart"/>
      <w:r>
        <w:t>Discretisation</w:t>
      </w:r>
      <w:proofErr w:type="spellEnd"/>
    </w:p>
    <w:p w14:paraId="58D638D3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Geometric graded mesh with 100 cells, stretch ratio 10 (fine near the electrode, coarse near the bulk).</w:t>
      </w:r>
    </w:p>
    <w:p w14:paraId="2D4EDB48" w14:textId="77777777" w:rsidR="00ED2733" w:rsidRDefault="00000000">
      <w:pPr>
        <w:spacing w:before="60" w:after="60"/>
      </w:pPr>
      <w:r>
        <w:t xml:space="preserve">Migration-diffusion fluxes are evaluated with the </w:t>
      </w:r>
      <w:proofErr w:type="spellStart"/>
      <w:r>
        <w:t>Scharfetter</w:t>
      </w:r>
      <w:proofErr w:type="spellEnd"/>
      <w:r>
        <w:t>-Gummel exponentially-fitted scheme. For each cell face between left node L and right node R, define the dimensionless drift parameter</w:t>
      </w:r>
    </w:p>
    <w:p w14:paraId="453F30D3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r>
          <w:rPr>
            <w:rFonts w:ascii="Cambria Math" w:hAnsi="Cambria Math"/>
          </w:rPr>
          <m:t xml:space="preserve">α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F 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</w:rPr>
              <m:t>RT</m:t>
            </m:r>
          </m:den>
        </m:f>
      </m:oMath>
      <w:r>
        <w:tab/>
        <w:t>(11)</w:t>
      </w:r>
    </w:p>
    <w:p w14:paraId="2440D610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-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Δx</m:t>
            </m:r>
          </m:den>
        </m:f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B(α)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r>
              <w:rPr>
                <w:rFonts w:ascii="Cambria Math" w:hAnsi="Cambria Math"/>
              </w:rPr>
              <m:t xml:space="preserve"> - B(-α)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tab/>
        <w:t>(12)</w:t>
      </w:r>
    </w:p>
    <w:p w14:paraId="6660DB42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r>
          <w:rPr>
            <w:rFonts w:ascii="Cambria Math" w:hAnsi="Cambria Math"/>
          </w:rPr>
          <m:t xml:space="preserve">B(α)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α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α</m:t>
                </m:r>
              </m:sup>
            </m:sSup>
            <m:r>
              <w:rPr>
                <w:rFonts w:ascii="Cambria Math" w:hAnsi="Cambria Math"/>
              </w:rPr>
              <m:t xml:space="preserve"> - 1</m:t>
            </m:r>
          </m:den>
        </m:f>
      </m:oMath>
      <w:r>
        <w:tab/>
        <w:t>(13)</w:t>
      </w:r>
    </w:p>
    <w:p w14:paraId="2CC85CB4" w14:textId="77777777" w:rsidR="00ED2733" w:rsidRDefault="00000000">
      <w:pPr>
        <w:spacing w:before="60" w:after="60"/>
      </w:pPr>
      <w:r>
        <w:t xml:space="preserve">Critical implementation detail: Taylor-expand B(α) for |α| &lt; 0.01 to keep </w:t>
      </w:r>
      <w:proofErr w:type="spellStart"/>
      <w:r>
        <w:t>ForwardDiff</w:t>
      </w:r>
      <w:proofErr w:type="spellEnd"/>
      <w:r>
        <w:t xml:space="preserve"> derivatives smooth as α → 0.</w:t>
      </w:r>
    </w:p>
    <w:p w14:paraId="1D99242F" w14:textId="77777777" w:rsidR="00ED2733" w:rsidRDefault="00000000">
      <w:pPr>
        <w:pStyle w:val="Heading3"/>
      </w:pPr>
      <w:r>
        <w:t>2.5.2 Newton-Raphson with Continuation</w:t>
      </w:r>
    </w:p>
    <w:p w14:paraId="170DDACB" w14:textId="77777777" w:rsidR="00ED2733" w:rsidRDefault="00000000">
      <w:pPr>
        <w:spacing w:before="60" w:after="60"/>
      </w:pPr>
      <w:r>
        <w:t>At each continuation step the residual F(u) = 0 is solved by damped Newton iteration:</w:t>
      </w:r>
    </w:p>
    <w:p w14:paraId="098F6EAC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J + λI</m:t>
            </m:r>
          </m:e>
        </m:d>
        <m:r>
          <w:rPr>
            <w:rFonts w:ascii="Cambria Math" w:hAnsi="Cambria Math"/>
          </w:rPr>
          <m:t xml:space="preserve"> Δu = - F(u),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s Δu</m:t>
        </m:r>
      </m:oMath>
      <w:r>
        <w:tab/>
        <w:t>(14)</w:t>
      </w:r>
    </w:p>
    <w:p w14:paraId="5E95768D" w14:textId="77777777" w:rsidR="00ED2733" w:rsidRDefault="00000000">
      <w:pPr>
        <w:spacing w:before="60" w:after="60"/>
      </w:pPr>
      <w:r>
        <w:t xml:space="preserve">with Tikhonov </w:t>
      </w:r>
      <w:proofErr w:type="spellStart"/>
      <w:r>
        <w:t>regularisation</w:t>
      </w:r>
      <w:proofErr w:type="spellEnd"/>
      <w:r>
        <w:t xml:space="preserve"> λ = 10⁻¹⁰, an L2-descent line search on s ∈ (0, 1], and convergence tolerance ‖F‖ &lt; 10⁻⁵.</w:t>
      </w:r>
    </w:p>
    <w:p w14:paraId="26F1F6A9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Continuation: start at V = −1.0 V (low current, equilibrium-like), step V down adaptively; </w:t>
      </w:r>
      <w:proofErr w:type="spellStart"/>
      <w:r>
        <w:t>ds_max</w:t>
      </w:r>
      <w:proofErr w:type="spellEnd"/>
      <w:r>
        <w:t xml:space="preserve"> = 0.20 V; ds shrinks ×0.3 on Newton failure, grows ×1.4 on fast convergence.</w:t>
      </w:r>
    </w:p>
    <w:p w14:paraId="2B907967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log-j fallback continuation when V-continuation stalls in a stiff regime.</w:t>
      </w:r>
    </w:p>
    <w:p w14:paraId="608E2D3F" w14:textId="77777777" w:rsidR="00ED2733" w:rsidRDefault="00000000">
      <w:pPr>
        <w:pStyle w:val="Heading3"/>
      </w:pPr>
      <w:r>
        <w:t>2.5.3 Jacobian Options</w:t>
      </w:r>
    </w:p>
    <w:p w14:paraId="496AB901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Forward-mode automatic differentiation (</w:t>
      </w:r>
      <w:proofErr w:type="spellStart"/>
      <w:r>
        <w:t>ForwardDiff.jl</w:t>
      </w:r>
      <w:proofErr w:type="spellEnd"/>
      <w:r>
        <w:t>) — exact, reused across continuation. Default for hard regimes.</w:t>
      </w:r>
    </w:p>
    <w:p w14:paraId="1E484384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Banded finite-difference Jacobian (39 colors) — faster initial assembly, used for warm starts.</w:t>
      </w:r>
    </w:p>
    <w:p w14:paraId="5552E4D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Trade-off: AD costs ~3× per assembly but converges in roughly half the iterations on stiff steps.</w:t>
      </w:r>
    </w:p>
    <w:p w14:paraId="6822B7D1" w14:textId="77777777" w:rsidR="00ED2733" w:rsidRDefault="00000000">
      <w:pPr>
        <w:pStyle w:val="Heading3"/>
      </w:pPr>
      <w:r>
        <w:t>2.5.4 Fixed-j Bisection Wrapper</w:t>
      </w:r>
    </w:p>
    <w:p w14:paraId="16F2BC59" w14:textId="77777777" w:rsidR="00ED2733" w:rsidRDefault="00000000">
      <w:pPr>
        <w:spacing w:before="60" w:after="60"/>
      </w:pPr>
      <w:r>
        <w:t>The Bloomquist data are constant-current, but the underlying Newton solver works at constant-potential. The V-Newton solver is therefore wrapped in an outer bisection on V vs SHE so that V satisfies</w:t>
      </w:r>
    </w:p>
    <w:p w14:paraId="793059A0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r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r>
              <w:rPr>
                <w:rFonts w:ascii="Cambria Math" w:hAnsi="Cambria Math"/>
              </w:rPr>
              <m:t>(V)</m:t>
            </m:r>
          </m:e>
        </m:nary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target</m:t>
            </m:r>
          </m:sub>
        </m:sSub>
      </m:oMath>
      <w:r>
        <w:tab/>
        <w:t>(15)</w:t>
      </w:r>
    </w:p>
    <w:p w14:paraId="4EEB5146" w14:textId="77777777" w:rsidR="00ED2733" w:rsidRDefault="00000000">
      <w:pPr>
        <w:spacing w:before="60" w:after="60"/>
      </w:pPr>
      <w:r>
        <w:lastRenderedPageBreak/>
        <w:t>to within 1×10⁻³ relative tolerance. The outer bracket is V ∈ [−2.5, −0.8] V, converging in ~5-10 bisection iterations per dataset row.</w:t>
      </w:r>
    </w:p>
    <w:p w14:paraId="3499D7E7" w14:textId="77777777" w:rsidR="00ED2733" w:rsidRDefault="00000000">
      <w:pPr>
        <w:pStyle w:val="Heading3"/>
      </w:pPr>
      <w:r>
        <w:t>2.5.5 Levenberg-Marquardt Fit Driver</w:t>
      </w:r>
    </w:p>
    <w:p w14:paraId="0CFC7AD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9-parameter fit: (log₁₀ j₀,1, log₁₀ j₀,2, log₁₀ </w:t>
      </w:r>
      <w:proofErr w:type="spellStart"/>
      <w:r>
        <w:t>j₀,TCH</w:t>
      </w:r>
      <w:proofErr w:type="spellEnd"/>
      <w:r>
        <w:t>, α_c,1, α_c,2, α_</w:t>
      </w:r>
      <w:proofErr w:type="spellStart"/>
      <w:r>
        <w:t>c,TCH</w:t>
      </w:r>
      <w:proofErr w:type="spellEnd"/>
      <w:r>
        <w:t xml:space="preserve">, </w:t>
      </w:r>
      <w:proofErr w:type="spellStart"/>
      <w:r>
        <w:t>n_ADN</w:t>
      </w:r>
      <w:proofErr w:type="spellEnd"/>
      <w:r>
        <w:t xml:space="preserve">, </w:t>
      </w:r>
      <w:proofErr w:type="spellStart"/>
      <w:r>
        <w:t>n_PN</w:t>
      </w:r>
      <w:proofErr w:type="spellEnd"/>
      <w:r>
        <w:t xml:space="preserve">, </w:t>
      </w:r>
      <w:proofErr w:type="spellStart"/>
      <w:r>
        <w:t>n_TCH</w:t>
      </w:r>
      <w:proofErr w:type="spellEnd"/>
      <w:r>
        <w:t>) over 48 Core rows × 3 species channels = 144 residuals (15× overdetermined).</w:t>
      </w:r>
    </w:p>
    <w:p w14:paraId="4D01F767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HER kinetics frozen at v6.x converged values (j₀,3 = 2.67×10⁻⁵, α_c,3 = 0.39) to reduce dimensionality and prevent the parameter chasing the FE_HER-by-difference column.</w:t>
      </w:r>
    </w:p>
    <w:p w14:paraId="5F7D0E12" w14:textId="77777777" w:rsidR="00ED2733" w:rsidRDefault="00000000">
      <w:pPr>
        <w:spacing w:before="60" w:after="60"/>
      </w:pPr>
      <w:r>
        <w:t>The Levenberg-Marquardt update rule (damped Gauss-Newton) is</w:t>
      </w:r>
    </w:p>
    <w:p w14:paraId="5B91B8B5" w14:textId="77777777" w:rsidR="00ED2733" w:rsidRDefault="00000000">
      <w:pPr>
        <w:tabs>
          <w:tab w:val="right" w:pos="9000"/>
        </w:tabs>
        <w:spacing w:before="80" w:after="80"/>
        <w:jc w:val="center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J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</w:rPr>
              <m:t xml:space="preserve"> J + λ diag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J</m:t>
                </m:r>
              </m:e>
            </m:d>
          </m:e>
        </m:d>
        <m:r>
          <w:rPr>
            <w:rFonts w:ascii="Cambria Math" w:hAnsi="Cambria Math"/>
          </w:rPr>
          <m:t xml:space="preserve"> Δθ = -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r(θ)</m:t>
        </m:r>
      </m:oMath>
      <w:r>
        <w:tab/>
        <w:t>(16)</w:t>
      </w:r>
    </w:p>
    <w:p w14:paraId="0067CE60" w14:textId="77777777" w:rsidR="00ED2733" w:rsidRDefault="00000000">
      <w:pPr>
        <w:spacing w:before="60" w:after="60"/>
      </w:pPr>
      <w:r>
        <w:t>with a finite-difference Jacobian (9 column evaluations per LM iteration); damping factor λ adapts ×4 on reject, ×0.5 on accept.</w:t>
      </w:r>
    </w:p>
    <w:p w14:paraId="2964EB74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Box-bound projection on θ at the end of each accepted step. Tolerance: relative loss drop &lt; 1% triggers convergence.</w:t>
      </w:r>
    </w:p>
    <w:p w14:paraId="1FA98BEC" w14:textId="77777777" w:rsidR="00ED2733" w:rsidRDefault="00000000">
      <w:pPr>
        <w:pStyle w:val="Heading3"/>
      </w:pPr>
      <w:r>
        <w:t>2.5.6 Software Tools</w:t>
      </w:r>
    </w:p>
    <w:p w14:paraId="4669A93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Julia 1.11 — Base, </w:t>
      </w:r>
      <w:proofErr w:type="spellStart"/>
      <w:r>
        <w:t>LinearAlgebra</w:t>
      </w:r>
      <w:proofErr w:type="spellEnd"/>
      <w:r>
        <w:t xml:space="preserve">, </w:t>
      </w:r>
      <w:proofErr w:type="spellStart"/>
      <w:r>
        <w:t>SparseArrays</w:t>
      </w:r>
      <w:proofErr w:type="spellEnd"/>
      <w:r>
        <w:t xml:space="preserve">, </w:t>
      </w:r>
      <w:proofErr w:type="spellStart"/>
      <w:r>
        <w:t>ForwardDiff</w:t>
      </w:r>
      <w:proofErr w:type="spellEnd"/>
      <w:r>
        <w:t>. No MATLAB or COMSOL. Pure-Julia implementation works under a Windows WDAC restriction at the host institution and matches the 'any computational tool' allowance in the project instructions.</w:t>
      </w:r>
    </w:p>
    <w:p w14:paraId="5E8E4E18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Python (</w:t>
      </w:r>
      <w:proofErr w:type="spellStart"/>
      <w:r>
        <w:t>numpy</w:t>
      </w:r>
      <w:proofErr w:type="spellEnd"/>
      <w:r>
        <w:t>, pandas, matplotlib) used for post-processing plots only.</w:t>
      </w:r>
    </w:p>
    <w:p w14:paraId="1456CCC2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2 — figure placeholder ]</w:t>
      </w:r>
    </w:p>
    <w:p w14:paraId="60F9E061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2. </w:t>
      </w:r>
      <w:r>
        <w:t xml:space="preserve">Solver pipeline schematic. Lévêque δ from </w:t>
      </w:r>
      <w:proofErr w:type="spellStart"/>
      <w:r>
        <w:t>Q_total</w:t>
      </w:r>
      <w:proofErr w:type="spellEnd"/>
      <w:r>
        <w:t xml:space="preserve"> + gap → graded mesh (100 cells) → cold IC from chemical equilibrium → V-continuation Newton walk from V = −1.0 V → fixed-j bisection wrapper → Tafel current evaluation with KIN_OVERRIDE → residual + RMSE per row.</w:t>
      </w:r>
    </w:p>
    <w:p w14:paraId="6D21C207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Generated flowchart; ~3 inches tall.</w:t>
      </w:r>
    </w:p>
    <w:p w14:paraId="431D69C0" w14:textId="77777777" w:rsidR="00ED2733" w:rsidRDefault="00000000">
      <w:pPr>
        <w:pStyle w:val="Heading2"/>
      </w:pPr>
      <w:r>
        <w:t>2.6 Fitting Strategy</w:t>
      </w:r>
    </w:p>
    <w:p w14:paraId="5A6EB11B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Three concentric row subsets: Core (gap ≥ 0.5 mm, j ≤ 190 mA/cm², </w:t>
      </w:r>
      <w:proofErr w:type="spellStart"/>
      <w:r>
        <w:t>ε_org</w:t>
      </w:r>
      <w:proofErr w:type="spellEnd"/>
      <w:r>
        <w:t xml:space="preserve"> ≥ 0.04, 48 rows) → fit; Extended (Core + high-j, 90 rows) → forward-apply; Holdout (gap = 0.25 mm, 45 rows) → forward-apply.</w:t>
      </w:r>
    </w:p>
    <w:p w14:paraId="638D4826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Why split: including 0.25 mm rows in the fit would force kinetic parameters to absorb missing bubble physics — sequestering them as Holdout keeps Core-fitted kinetics interpretable.</w:t>
      </w:r>
    </w:p>
    <w:p w14:paraId="3E15D6D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Decision gates (5 thresholds): Core ADN &lt; 8 pp, Core PN &lt; 5 pp, Core TCH &lt; 4 pp, Extended ADN &lt; 12 pp, Holdout ADN &lt; 15 pp.</w:t>
      </w:r>
    </w:p>
    <w:p w14:paraId="66E095D4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3 — figure placeholder ]</w:t>
      </w:r>
    </w:p>
    <w:p w14:paraId="50E0D309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3. </w:t>
      </w:r>
      <w:r>
        <w:t xml:space="preserve">Mesh and species concentration profiles at one converged operating point. (a) Graded cell width </w:t>
      </w:r>
      <w:proofErr w:type="spellStart"/>
      <w:r>
        <w:t>δx</w:t>
      </w:r>
      <w:proofErr w:type="spellEnd"/>
      <w:r>
        <w:t xml:space="preserve"> vs x on a log scale showing the geometric stretch toward the electrode. (b) </w:t>
      </w:r>
      <w:proofErr w:type="spellStart"/>
      <w:r>
        <w:t>c_i</w:t>
      </w:r>
      <w:proofErr w:type="spellEnd"/>
      <w:r>
        <w:t>(x) for AN, OH⁻, and ADPN at one representative Bloomquist row.</w:t>
      </w:r>
    </w:p>
    <w:p w14:paraId="5C0CE51F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an_ehd_v2/output/figures/species_profiles.png; ~3.5 inches tall.</w:t>
      </w:r>
    </w:p>
    <w:p w14:paraId="75BEC2D4" w14:textId="77777777" w:rsidR="00ED2733" w:rsidRDefault="00000000">
      <w:pPr>
        <w:pStyle w:val="Heading1"/>
      </w:pPr>
      <w:r>
        <w:t>3. Results and Discussion</w:t>
      </w:r>
    </w:p>
    <w:p w14:paraId="324546C9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lastRenderedPageBreak/>
        <w:t>Target length: ~3.5 pages, with 3-4 figures.</w:t>
      </w:r>
    </w:p>
    <w:p w14:paraId="26B96BF5" w14:textId="77777777" w:rsidR="00ED2733" w:rsidRDefault="00000000">
      <w:pPr>
        <w:pStyle w:val="Heading2"/>
      </w:pPr>
      <w:r>
        <w:t>3.1 Convergence Behavior of the Solver</w:t>
      </w:r>
    </w:p>
    <w:p w14:paraId="326F4ECD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Newton typically converges in 4-12 iterations from a warm start at the next continuation step.</w:t>
      </w:r>
    </w:p>
    <w:p w14:paraId="732EDC2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AD vs banded-FD on Stage 1 baseline: AD converges in ~6 iterations, banded-FD in ~10; AD wall-time roughly equal because per-iteration cost is ~2× higher.</w:t>
      </w:r>
    </w:p>
    <w:p w14:paraId="67C16BAF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Stage 3 warm-start cache (90 unique transport keys, V = −1.0 V) cuts Stage 4 fit time from ~45 min to ~12 min by </w:t>
      </w:r>
      <w:proofErr w:type="spellStart"/>
      <w:r>
        <w:t>amortising</w:t>
      </w:r>
      <w:proofErr w:type="spellEnd"/>
      <w:r>
        <w:t xml:space="preserve"> the cold V-walk.</w:t>
      </w:r>
    </w:p>
    <w:p w14:paraId="024D0167" w14:textId="77777777" w:rsidR="00ED2733" w:rsidRDefault="00000000">
      <w:pPr>
        <w:pStyle w:val="Heading2"/>
      </w:pPr>
      <w:r>
        <w:t>3.2 Final Fitted Kinetic Parameters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00ED2733" w14:paraId="70192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8450" w14:textId="77777777" w:rsidR="00ED2733" w:rsidRDefault="00000000">
            <w:r>
              <w:rPr>
                <w:b/>
                <w:bCs/>
              </w:rPr>
              <w:t>Reaction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FDE3D" w14:textId="77777777" w:rsidR="00ED2733" w:rsidRDefault="00000000">
            <w:r>
              <w:rPr>
                <w:b/>
                <w:bCs/>
              </w:rPr>
              <w:t>j₀ (A/m²)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D873A" w14:textId="77777777" w:rsidR="00ED2733" w:rsidRDefault="00000000">
            <w:r>
              <w:rPr>
                <w:b/>
                <w:bCs/>
              </w:rPr>
              <w:t>α_c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756" w14:textId="77777777" w:rsidR="00ED2733" w:rsidRDefault="00000000">
            <w:r>
              <w:rPr>
                <w:b/>
                <w:bCs/>
              </w:rPr>
              <w:t>n (AN order)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7ADB" w14:textId="77777777" w:rsidR="00ED2733" w:rsidRDefault="00000000">
            <w:r>
              <w:rPr>
                <w:b/>
                <w:bCs/>
              </w:rPr>
              <w:t>Source</w:t>
            </w:r>
          </w:p>
        </w:tc>
      </w:tr>
      <w:tr w:rsidR="00ED2733" w14:paraId="0F18695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02502" w14:textId="77777777" w:rsidR="00ED2733" w:rsidRDefault="00000000">
            <w:r>
              <w:t>ADPN (R1)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6D02" w14:textId="77777777" w:rsidR="00ED2733" w:rsidRDefault="00000000">
            <w:r>
              <w:t>2.7 × 10⁻³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AB0CD" w14:textId="77777777" w:rsidR="00ED2733" w:rsidRDefault="00000000">
            <w:r>
              <w:t>0.567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A8D4" w14:textId="77777777" w:rsidR="00ED2733" w:rsidRDefault="00000000">
            <w:r>
              <w:t>0.63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28656" w14:textId="77777777" w:rsidR="00ED2733" w:rsidRDefault="00000000">
            <w:r>
              <w:t>fit</w:t>
            </w:r>
          </w:p>
        </w:tc>
      </w:tr>
      <w:tr w:rsidR="00ED2733" w14:paraId="4B4249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EB947" w14:textId="77777777" w:rsidR="00ED2733" w:rsidRDefault="00000000">
            <w:r>
              <w:t>PN (R2)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9DE1" w14:textId="77777777" w:rsidR="00ED2733" w:rsidRDefault="00000000">
            <w:r>
              <w:t>1.2 × 10⁻³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38659" w14:textId="77777777" w:rsidR="00ED2733" w:rsidRDefault="00000000">
            <w:r>
              <w:t>0.507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5D45C" w14:textId="77777777" w:rsidR="00ED2733" w:rsidRDefault="00000000">
            <w:r>
              <w:t>0.97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8099" w14:textId="77777777" w:rsidR="00ED2733" w:rsidRDefault="00000000">
            <w:r>
              <w:t>fit</w:t>
            </w:r>
          </w:p>
        </w:tc>
      </w:tr>
      <w:tr w:rsidR="00ED2733" w14:paraId="71F306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E7E6" w14:textId="77777777" w:rsidR="00ED2733" w:rsidRDefault="00000000">
            <w:r>
              <w:t>HER (R3)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2F49" w14:textId="77777777" w:rsidR="00ED2733" w:rsidRDefault="00000000">
            <w:r>
              <w:t>2.7 × 10⁻⁵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6B6FE" w14:textId="77777777" w:rsidR="00ED2733" w:rsidRDefault="00000000">
            <w:r>
              <w:t>0.390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7264F" w14:textId="77777777" w:rsidR="00ED2733" w:rsidRDefault="00000000">
            <w:r>
              <w:t>n/a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57E16" w14:textId="77777777" w:rsidR="00ED2733" w:rsidRDefault="00000000">
            <w:r>
              <w:t>frozen (v6.x)</w:t>
            </w:r>
          </w:p>
        </w:tc>
      </w:tr>
      <w:tr w:rsidR="00ED2733" w14:paraId="1862EE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04DE2" w14:textId="77777777" w:rsidR="00ED2733" w:rsidRDefault="00000000">
            <w:r>
              <w:t>TCH (R4)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A328" w14:textId="77777777" w:rsidR="00ED2733" w:rsidRDefault="00000000">
            <w:r>
              <w:t>1.7 × 10⁻³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7F705" w14:textId="77777777" w:rsidR="00ED2733" w:rsidRDefault="00000000">
            <w:r>
              <w:t>0.519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C4B36" w14:textId="77777777" w:rsidR="00ED2733" w:rsidRDefault="00000000">
            <w:r>
              <w:t>1.83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E5300" w14:textId="77777777" w:rsidR="00ED2733" w:rsidRDefault="00000000">
            <w:r>
              <w:t>fit</w:t>
            </w:r>
          </w:p>
        </w:tc>
      </w:tr>
    </w:tbl>
    <w:p w14:paraId="2666A956" w14:textId="77777777" w:rsidR="00ED2733" w:rsidRDefault="00000000">
      <w:pPr>
        <w:spacing w:before="80" w:after="200"/>
        <w:jc w:val="center"/>
      </w:pPr>
      <w:r>
        <w:rPr>
          <w:b/>
          <w:bCs/>
          <w:sz w:val="20"/>
          <w:szCs w:val="20"/>
        </w:rPr>
        <w:t xml:space="preserve">Table 1. </w:t>
      </w:r>
      <w:r>
        <w:rPr>
          <w:i/>
          <w:iCs/>
          <w:sz w:val="20"/>
          <w:szCs w:val="20"/>
        </w:rPr>
        <w:t>Final fitted kinetic parameters from the Levenberg-Marquardt run on the Core subset.</w:t>
      </w:r>
    </w:p>
    <w:p w14:paraId="4B7B035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All AN reaction orders below their molecularity values (2, 1, 3) — strong empirical evidence for Langmuir-Hinshelwood surface saturation dominating kinetics.</w:t>
      </w:r>
    </w:p>
    <w:p w14:paraId="493CC653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α_c values cluster around 0.5 (0.39-0.57), consistent with Volmer-step-limited cathodic transfer.</w:t>
      </w:r>
    </w:p>
    <w:p w14:paraId="3B913931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j₀ values within an order of magnitude of textbook AN-on-Cd literature.</w:t>
      </w:r>
    </w:p>
    <w:p w14:paraId="4D4BDAE0" w14:textId="77777777" w:rsidR="00ED2733" w:rsidRDefault="00000000">
      <w:pPr>
        <w:pStyle w:val="Heading2"/>
      </w:pPr>
      <w:r>
        <w:t>3.3 Decision-Gate Scoreboard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00ED2733" w14:paraId="6B1BF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8A78D" w14:textId="77777777" w:rsidR="00ED2733" w:rsidRDefault="00000000">
            <w:r>
              <w:rPr>
                <w:b/>
                <w:bCs/>
              </w:rPr>
              <w:t>Subset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0C6CE" w14:textId="77777777" w:rsidR="00ED2733" w:rsidRDefault="00000000">
            <w:r>
              <w:rPr>
                <w:b/>
                <w:bCs/>
              </w:rPr>
              <w:t>FE channel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7ACF8" w14:textId="77777777" w:rsidR="00ED2733" w:rsidRDefault="00000000">
            <w:r>
              <w:rPr>
                <w:b/>
                <w:bCs/>
              </w:rPr>
              <w:t>RMSE (pp)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81A8" w14:textId="77777777" w:rsidR="00ED2733" w:rsidRDefault="00000000">
            <w:r>
              <w:rPr>
                <w:b/>
                <w:bCs/>
              </w:rPr>
              <w:t>Threshold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E286" w14:textId="77777777" w:rsidR="00ED2733" w:rsidRDefault="00000000">
            <w:r>
              <w:rPr>
                <w:b/>
                <w:bCs/>
              </w:rPr>
              <w:t>Pass/Fail</w:t>
            </w:r>
          </w:p>
        </w:tc>
      </w:tr>
      <w:tr w:rsidR="00ED2733" w14:paraId="17305E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9A7EF" w14:textId="77777777" w:rsidR="00ED2733" w:rsidRDefault="00000000">
            <w:r>
              <w:t>Core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C4362" w14:textId="77777777" w:rsidR="00ED2733" w:rsidRDefault="00000000">
            <w:r>
              <w:t>ADN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1CBFC" w14:textId="77777777" w:rsidR="00ED2733" w:rsidRDefault="00000000">
            <w:r>
              <w:t>8.16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6408" w14:textId="77777777" w:rsidR="00ED2733" w:rsidRDefault="00000000">
            <w:r>
              <w:t>&lt; 8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94672" w14:textId="77777777" w:rsidR="00ED2733" w:rsidRDefault="00000000">
            <w:r>
              <w:t>FAIL (by 0.16)</w:t>
            </w:r>
          </w:p>
        </w:tc>
      </w:tr>
      <w:tr w:rsidR="00ED2733" w14:paraId="2B61F61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5638" w14:textId="77777777" w:rsidR="00ED2733" w:rsidRDefault="00000000">
            <w:r>
              <w:t>Core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6028" w14:textId="77777777" w:rsidR="00ED2733" w:rsidRDefault="00000000">
            <w:r>
              <w:t>PN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1D91D" w14:textId="77777777" w:rsidR="00ED2733" w:rsidRDefault="00000000">
            <w:r>
              <w:t>4.94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0DAB" w14:textId="77777777" w:rsidR="00ED2733" w:rsidRDefault="00000000">
            <w:r>
              <w:t>&lt; 5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34AF" w14:textId="77777777" w:rsidR="00ED2733" w:rsidRDefault="00000000">
            <w:r>
              <w:t>PASS</w:t>
            </w:r>
          </w:p>
        </w:tc>
      </w:tr>
      <w:tr w:rsidR="00ED2733" w14:paraId="5C06CE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9B181" w14:textId="77777777" w:rsidR="00ED2733" w:rsidRDefault="00000000">
            <w:r>
              <w:t>Core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9F12" w14:textId="77777777" w:rsidR="00ED2733" w:rsidRDefault="00000000">
            <w:r>
              <w:t>TCH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3D05" w14:textId="77777777" w:rsidR="00ED2733" w:rsidRDefault="00000000">
            <w:r>
              <w:t>6.24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BCD99" w14:textId="77777777" w:rsidR="00ED2733" w:rsidRDefault="00000000">
            <w:r>
              <w:t>&lt; 4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25D2" w14:textId="77777777" w:rsidR="00ED2733" w:rsidRDefault="00000000">
            <w:r>
              <w:t>FAIL</w:t>
            </w:r>
          </w:p>
        </w:tc>
      </w:tr>
      <w:tr w:rsidR="00ED2733" w14:paraId="1FA9B9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0690" w14:textId="77777777" w:rsidR="00ED2733" w:rsidRDefault="00000000">
            <w:r>
              <w:t>Extended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D859A" w14:textId="77777777" w:rsidR="00ED2733" w:rsidRDefault="00000000">
            <w:r>
              <w:t>ADN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1CC4" w14:textId="77777777" w:rsidR="00ED2733" w:rsidRDefault="00000000">
            <w:r>
              <w:t>9.58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B7169" w14:textId="77777777" w:rsidR="00ED2733" w:rsidRDefault="00000000">
            <w:r>
              <w:t>&lt; 12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8A55" w14:textId="77777777" w:rsidR="00ED2733" w:rsidRDefault="00000000">
            <w:r>
              <w:t>PASS</w:t>
            </w:r>
          </w:p>
        </w:tc>
      </w:tr>
      <w:tr w:rsidR="00ED2733" w14:paraId="7C3614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7AB4" w14:textId="77777777" w:rsidR="00ED2733" w:rsidRDefault="00000000">
            <w:r>
              <w:t>Holdout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837CF" w14:textId="77777777" w:rsidR="00ED2733" w:rsidRDefault="00000000">
            <w:r>
              <w:t>ADN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FA09" w14:textId="77777777" w:rsidR="00ED2733" w:rsidRDefault="00000000">
            <w:r>
              <w:t>30.48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1EC15" w14:textId="77777777" w:rsidR="00ED2733" w:rsidRDefault="00000000">
            <w:r>
              <w:t>&lt; 15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C00B" w14:textId="77777777" w:rsidR="00ED2733" w:rsidRDefault="00000000">
            <w:r>
              <w:t>FAIL</w:t>
            </w:r>
          </w:p>
        </w:tc>
      </w:tr>
    </w:tbl>
    <w:p w14:paraId="41B8916C" w14:textId="77777777" w:rsidR="00ED2733" w:rsidRDefault="00000000">
      <w:pPr>
        <w:spacing w:before="80" w:after="200"/>
        <w:jc w:val="center"/>
      </w:pPr>
      <w:r>
        <w:rPr>
          <w:b/>
          <w:bCs/>
          <w:sz w:val="20"/>
          <w:szCs w:val="20"/>
        </w:rPr>
        <w:t xml:space="preserve">Table 2. </w:t>
      </w:r>
      <w:r>
        <w:rPr>
          <w:i/>
          <w:iCs/>
          <w:sz w:val="20"/>
          <w:szCs w:val="20"/>
        </w:rPr>
        <w:t>Decision-gate scoreboard. The model passes 2 of 5 gates.</w:t>
      </w:r>
    </w:p>
    <w:p w14:paraId="60AFC150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4 — figure placeholder ]</w:t>
      </w:r>
    </w:p>
    <w:p w14:paraId="5197F52D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4. </w:t>
      </w:r>
      <w:r>
        <w:t xml:space="preserve">Model vs experiment parity, four panels (FE_ADN, FE_PN, FE_TCH, </w:t>
      </w:r>
      <w:proofErr w:type="spellStart"/>
      <w:r>
        <w:t>V_cell</w:t>
      </w:r>
      <w:proofErr w:type="spellEnd"/>
      <w:r>
        <w:t>). Parity dashed line; points colored by gap; per-subset RMSE annotated. This is the headline figure of the report.</w:t>
      </w:r>
    </w:p>
    <w:p w14:paraId="4DA59464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an_ehd_v2/output/stage4_seq/plots/stage4seq_parity_combined.png; ~4 inches tall.</w:t>
      </w:r>
    </w:p>
    <w:p w14:paraId="643AA062" w14:textId="77777777" w:rsidR="00ED2733" w:rsidRDefault="00000000">
      <w:pPr>
        <w:pStyle w:val="Heading2"/>
      </w:pPr>
      <w:r>
        <w:t>3.4 Residual Structure — the Diagnostic</w:t>
      </w:r>
    </w:p>
    <w:p w14:paraId="3827CA8F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Residual vs current density faceted by gap: small-gap (0.25 mm) FE_ADN systematically underpredicted at high j, pointing at bubble convection enhancement of mass transfer as the missing physics.</w:t>
      </w:r>
    </w:p>
    <w:p w14:paraId="6992AC8F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Residual vs </w:t>
      </w:r>
      <w:proofErr w:type="spellStart"/>
      <w:r>
        <w:t>ε_org</w:t>
      </w:r>
      <w:proofErr w:type="spellEnd"/>
      <w:r>
        <w:t xml:space="preserve">: negative slope at 1 mm gap that flattened (relative to v6) once </w:t>
      </w:r>
      <w:proofErr w:type="spellStart"/>
      <w:r>
        <w:t>n_ADN</w:t>
      </w:r>
      <w:proofErr w:type="spellEnd"/>
      <w:r>
        <w:t xml:space="preserve"> was freed — supporting the Langmuir-Hinshelwood interpretation.</w:t>
      </w:r>
    </w:p>
    <w:p w14:paraId="3AF2D745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5 — figure placeholder ]</w:t>
      </w:r>
    </w:p>
    <w:p w14:paraId="11394C6F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5. </w:t>
      </w:r>
      <w:r>
        <w:t xml:space="preserve">FE_ADN residuals vs (j, </w:t>
      </w:r>
      <w:proofErr w:type="spellStart"/>
      <w:r>
        <w:t>ε_org</w:t>
      </w:r>
      <w:proofErr w:type="spellEnd"/>
      <w:r>
        <w:t>) faceted by gap. Composite: rows = vs-j / vs-</w:t>
      </w:r>
      <w:proofErr w:type="spellStart"/>
      <w:r>
        <w:t>ε_org</w:t>
      </w:r>
      <w:proofErr w:type="spellEnd"/>
      <w:r>
        <w:t>; columns = gap 0.25 / 0.5 / 1.0 mm.</w:t>
      </w:r>
    </w:p>
    <w:p w14:paraId="5E35F40C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an_ehd_v2/output/stage4_seq/plots/resid_FE_ADN_vs_j.png + resid_FE_ADN_vs_eps.png; ~3 inches tall.</w:t>
      </w:r>
    </w:p>
    <w:p w14:paraId="56E05343" w14:textId="77777777" w:rsidR="00ED2733" w:rsidRDefault="00000000">
      <w:pPr>
        <w:pStyle w:val="Heading2"/>
      </w:pPr>
      <w:r>
        <w:t>3.5 Regime-Map View</w:t>
      </w:r>
    </w:p>
    <w:p w14:paraId="76E7288C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Bloomquist Fig. 5 paradigm: </w:t>
      </w:r>
      <w:proofErr w:type="spellStart"/>
      <w:r>
        <w:t>We_aq</w:t>
      </w:r>
      <w:proofErr w:type="spellEnd"/>
      <w:r>
        <w:t xml:space="preserve"> × </w:t>
      </w:r>
      <w:proofErr w:type="spellStart"/>
      <w:r>
        <w:t>We_org</w:t>
      </w:r>
      <w:proofErr w:type="spellEnd"/>
      <w:r>
        <w:t xml:space="preserve"> × j → FE_ADN. Model overlay on experimental points.</w:t>
      </w:r>
    </w:p>
    <w:p w14:paraId="1D0B82B1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>Demonstrates the model captures the right shape of the high-FE region in the regime map even when magnitude misses on small-gap data.</w:t>
      </w:r>
    </w:p>
    <w:p w14:paraId="5DA16F21" w14:textId="77777777" w:rsidR="00ED2733" w:rsidRDefault="00000000">
      <w:pPr>
        <w:spacing w:before="160" w:after="60"/>
        <w:jc w:val="center"/>
      </w:pPr>
      <w:r>
        <w:rPr>
          <w:i/>
          <w:iCs/>
          <w:color w:val="7F7F7F"/>
        </w:rPr>
        <w:t>[ Figure 6 (optional) — figure placeholder ]</w:t>
      </w:r>
    </w:p>
    <w:p w14:paraId="153132FC" w14:textId="77777777" w:rsidR="00ED2733" w:rsidRDefault="00000000">
      <w:pPr>
        <w:spacing w:before="60" w:after="60"/>
        <w:jc w:val="center"/>
      </w:pPr>
      <w:r>
        <w:rPr>
          <w:b/>
          <w:bCs/>
        </w:rPr>
        <w:t xml:space="preserve">Figure 6 (optional). </w:t>
      </w:r>
      <w:r>
        <w:t>Model FE_ADN regime maps vs Bloomquist data. Drop first if page budget tightens.</w:t>
      </w:r>
    </w:p>
    <w:p w14:paraId="1B7DB9E7" w14:textId="77777777" w:rsidR="00ED2733" w:rsidRDefault="0000000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Source: an_ehd_v2/output/forward_v3/data/weber_maps_v3.png; ~3 inches tall.</w:t>
      </w:r>
    </w:p>
    <w:p w14:paraId="415189EA" w14:textId="77777777" w:rsidR="00ED2733" w:rsidRDefault="00000000">
      <w:pPr>
        <w:pStyle w:val="Heading2"/>
      </w:pPr>
      <w:r>
        <w:t>3.6 Limitations and Unresolved Physics</w:t>
      </w:r>
    </w:p>
    <w:p w14:paraId="7024BC48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Bubble-induced convection (most important): H₂ bubbles enhance </w:t>
      </w:r>
      <w:proofErr w:type="spellStart"/>
      <w:r>
        <w:t>δ_lev</w:t>
      </w:r>
      <w:proofErr w:type="spellEnd"/>
      <w:r>
        <w:t xml:space="preserve"> mass transfer at high j and small gap; v7 has no model term. This is the dominant Holdout residual.</w:t>
      </w:r>
    </w:p>
    <w:p w14:paraId="4C581409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TCH product accounting: </w:t>
      </w:r>
      <w:proofErr w:type="spellStart"/>
      <w:r>
        <w:t>n_e_TCH</w:t>
      </w:r>
      <w:proofErr w:type="spellEnd"/>
      <w:r>
        <w:t xml:space="preserve"> = 2 from the SI implies an unsaturated trimer (C₉H₁₁N₃), but Bloomquist's FE_TCH column derivation may use MW = 175 (saturated form) — possible 9% systematic bias in residuals.</w:t>
      </w:r>
    </w:p>
    <w:p w14:paraId="6A057D1A" w14:textId="77777777" w:rsidR="00ED2733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V_CE / </w:t>
      </w:r>
      <w:proofErr w:type="spellStart"/>
      <w:r>
        <w:t>R_contact</w:t>
      </w:r>
      <w:proofErr w:type="spellEnd"/>
      <w:r>
        <w:t xml:space="preserve"> frozen at v6 defaults; v6.x </w:t>
      </w:r>
      <w:proofErr w:type="spellStart"/>
      <w:r>
        <w:t>V_cell</w:t>
      </w:r>
      <w:proofErr w:type="spellEnd"/>
      <w:r>
        <w:t xml:space="preserve"> parity showed 0.4 V MAE consistent with measurement-noise-on-noise back-derivation, so refit deferred.</w:t>
      </w:r>
    </w:p>
    <w:p w14:paraId="6F9D347F" w14:textId="77777777" w:rsidR="00ED2733" w:rsidRDefault="00000000">
      <w:pPr>
        <w:pStyle w:val="Heading1"/>
      </w:pPr>
      <w:r>
        <w:t>4. Conclusion</w:t>
      </w:r>
    </w:p>
    <w:p w14:paraId="7CF3D51C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t>Target length: ~0.5 page.</w:t>
      </w:r>
    </w:p>
    <w:p w14:paraId="31437F72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We built a 9-species 1D Nernst-Planck + Tafel cathode model with regime-aware mixture diffusivity, Lévêque boundary-layer mapping, and a Levenberg-Marquardt fitting wrapper around a Newton-continuation solver — all in pure Julia (Base + </w:t>
      </w:r>
      <w:proofErr w:type="spellStart"/>
      <w:r>
        <w:t>ForwardDiff</w:t>
      </w:r>
      <w:proofErr w:type="spellEnd"/>
      <w:r>
        <w:t>).</w:t>
      </w:r>
    </w:p>
    <w:p w14:paraId="057CFE07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The model reproduces the Bloomquist 2026 dataset to within 8-10 pp on Core and Extended subsets across 138 of 162 rows; passes 2 of 5 decision gates.</w:t>
      </w:r>
    </w:p>
    <w:p w14:paraId="2729FC34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Fitted AN reaction orders diverge sharply from textbook molecularity (</w:t>
      </w:r>
      <w:proofErr w:type="spellStart"/>
      <w:r>
        <w:t>n_ADN</w:t>
      </w:r>
      <w:proofErr w:type="spellEnd"/>
      <w:r>
        <w:t xml:space="preserve"> = 0.63 vs 2; </w:t>
      </w:r>
      <w:proofErr w:type="spellStart"/>
      <w:r>
        <w:t>n_TCH</w:t>
      </w:r>
      <w:proofErr w:type="spellEnd"/>
      <w:r>
        <w:t xml:space="preserve"> = 1.83 vs 3) — strong evidence for Langmuir-Hinshelwood surface coverage saturation as the dominant kinetic mechanism.</w:t>
      </w:r>
    </w:p>
    <w:p w14:paraId="10BD306F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The Holdout (0.25 mm gap) residual of 30 pp </w:t>
      </w:r>
      <w:proofErr w:type="spellStart"/>
      <w:r>
        <w:t>localises</w:t>
      </w:r>
      <w:proofErr w:type="spellEnd"/>
      <w:r>
        <w:t xml:space="preserve"> the dominant unresolved physics to bubble-induced convection in narrow-gap reactors — the actionable next step for v8.</w:t>
      </w:r>
    </w:p>
    <w:p w14:paraId="44F7C81F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Numerical-methods takeaway: AD-Newton-Raphson with adaptive V-continuation handles the stiff 1000-DOF system robustly across 162 operating conditions; LM is well-conditioned for the 9-parameter fit; warm-start caching delivers ~4× wall-time speedup.</w:t>
      </w:r>
    </w:p>
    <w:p w14:paraId="70C53722" w14:textId="77777777" w:rsidR="00ED2733" w:rsidRDefault="00000000">
      <w:r>
        <w:br w:type="page"/>
      </w:r>
    </w:p>
    <w:p w14:paraId="58E10671" w14:textId="77777777" w:rsidR="00ED2733" w:rsidRDefault="00000000">
      <w:pPr>
        <w:pStyle w:val="Heading1"/>
      </w:pPr>
      <w:r>
        <w:lastRenderedPageBreak/>
        <w:t>5. References</w:t>
      </w:r>
    </w:p>
    <w:p w14:paraId="4BC0F6E4" w14:textId="77777777" w:rsidR="00ED2733" w:rsidRDefault="00000000">
      <w:pPr>
        <w:spacing w:before="60" w:after="60"/>
      </w:pPr>
      <w:r>
        <w:rPr>
          <w:i/>
          <w:iCs/>
          <w:color w:val="595959"/>
          <w:sz w:val="20"/>
          <w:szCs w:val="20"/>
        </w:rPr>
        <w:t>References do not count toward the 10-page limit. Final formatting (ACS / IEEE / Vancouver) TBD.</w:t>
      </w:r>
    </w:p>
    <w:p w14:paraId="44CC5A80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Bloomquist, K. B. et al. Chemical Engineering Journal 528, 172125 (2026). [Primary experimental dataset.]</w:t>
      </w:r>
    </w:p>
    <w:p w14:paraId="6EB8B9E3" w14:textId="77777777" w:rsidR="00ED2733" w:rsidRPr="00C10388" w:rsidRDefault="00000000">
      <w:pPr>
        <w:pStyle w:val="ListParagraph"/>
        <w:numPr>
          <w:ilvl w:val="0"/>
          <w:numId w:val="3"/>
        </w:numPr>
        <w:spacing w:before="30" w:after="30"/>
        <w:rPr>
          <w:lang w:val="de-DE"/>
        </w:rPr>
      </w:pPr>
      <w:r w:rsidRPr="00C10388">
        <w:rPr>
          <w:lang w:val="fr-FR"/>
        </w:rPr>
        <w:t xml:space="preserve">Mathison, A. J. et al. </w:t>
      </w:r>
      <w:r w:rsidRPr="00C10388">
        <w:rPr>
          <w:lang w:val="de-DE"/>
        </w:rPr>
        <w:t xml:space="preserve">J. Am. Chem. Soc. (2025). [Standard </w:t>
      </w:r>
      <w:proofErr w:type="spellStart"/>
      <w:r w:rsidRPr="00C10388">
        <w:rPr>
          <w:lang w:val="de-DE"/>
        </w:rPr>
        <w:t>potentials</w:t>
      </w:r>
      <w:proofErr w:type="spellEnd"/>
      <w:r w:rsidRPr="00C10388">
        <w:rPr>
          <w:lang w:val="de-DE"/>
        </w:rPr>
        <w:t xml:space="preserve"> E°_1, E°_2.]</w:t>
      </w:r>
    </w:p>
    <w:p w14:paraId="3FC02E0E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Newman, J. Electrochemical Systems, 3rd ed., chapters 11.3, 14.4. [Nernst-Planck reference.]</w:t>
      </w:r>
    </w:p>
    <w:p w14:paraId="4AB39AD7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Bird, R. B., Stewart, W. E., Lightfoot, E. N. Transport Phenomena, 2nd ed., §14.4. [Lévêque correlation.]</w:t>
      </w:r>
    </w:p>
    <w:p w14:paraId="6747F615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 w:rsidRPr="00C10388">
        <w:rPr>
          <w:lang w:val="fr-FR"/>
        </w:rPr>
        <w:t xml:space="preserve">Lévêque, M. A. Annales des Mines (1928). </w:t>
      </w:r>
      <w:r>
        <w:t>[Original Lévêque solution.]</w:t>
      </w:r>
    </w:p>
    <w:p w14:paraId="4EB86483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 w:rsidRPr="00C10388">
        <w:rPr>
          <w:lang w:val="it-IT"/>
        </w:rPr>
        <w:t xml:space="preserve">Trasatti, S. J. </w:t>
      </w:r>
      <w:proofErr w:type="spellStart"/>
      <w:r w:rsidRPr="00C10388">
        <w:rPr>
          <w:lang w:val="it-IT"/>
        </w:rPr>
        <w:t>Electroanal</w:t>
      </w:r>
      <w:proofErr w:type="spellEnd"/>
      <w:r w:rsidRPr="00C10388">
        <w:rPr>
          <w:lang w:val="it-IT"/>
        </w:rPr>
        <w:t xml:space="preserve">. Chem. </w:t>
      </w:r>
      <w:r>
        <w:t>(1972). [HER on Cd reference.]</w:t>
      </w:r>
    </w:p>
    <w:p w14:paraId="12F4CA1D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proofErr w:type="spellStart"/>
      <w:r>
        <w:t>Suwanvaipattana</w:t>
      </w:r>
      <w:proofErr w:type="spellEnd"/>
      <w:r>
        <w:t>, P. (2017). [Multi-component diffusivity for AN/water/ADPN system; partition coefficients.]</w:t>
      </w:r>
    </w:p>
    <w:p w14:paraId="53FA69D0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Eigen, M. Proton Transfer in Aqueous Solution. [Buffer chemistry rate constants.]</w:t>
      </w:r>
    </w:p>
    <w:p w14:paraId="48BA4201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proofErr w:type="spellStart"/>
      <w:r w:rsidRPr="00C10388">
        <w:rPr>
          <w:lang w:val="fr-FR"/>
        </w:rPr>
        <w:t>Scharfetter</w:t>
      </w:r>
      <w:proofErr w:type="spellEnd"/>
      <w:r w:rsidRPr="00C10388">
        <w:rPr>
          <w:lang w:val="fr-FR"/>
        </w:rPr>
        <w:t xml:space="preserve">, D. L. &amp; Gummel, H. K. IEEE Trans. </w:t>
      </w:r>
      <w:proofErr w:type="spellStart"/>
      <w:r w:rsidRPr="00C10388">
        <w:rPr>
          <w:lang w:val="fr-FR"/>
        </w:rPr>
        <w:t>Electron</w:t>
      </w:r>
      <w:proofErr w:type="spellEnd"/>
      <w:r w:rsidRPr="00C10388">
        <w:rPr>
          <w:lang w:val="fr-FR"/>
        </w:rPr>
        <w:t xml:space="preserve"> </w:t>
      </w:r>
      <w:proofErr w:type="spellStart"/>
      <w:r w:rsidRPr="00C10388">
        <w:rPr>
          <w:lang w:val="fr-FR"/>
        </w:rPr>
        <w:t>Devices</w:t>
      </w:r>
      <w:proofErr w:type="spellEnd"/>
      <w:r w:rsidRPr="00C10388">
        <w:rPr>
          <w:lang w:val="fr-FR"/>
        </w:rPr>
        <w:t xml:space="preserve"> (1969). </w:t>
      </w:r>
      <w:r>
        <w:t xml:space="preserve">[Flux </w:t>
      </w:r>
      <w:proofErr w:type="spellStart"/>
      <w:r>
        <w:t>discretisation</w:t>
      </w:r>
      <w:proofErr w:type="spellEnd"/>
      <w:r>
        <w:t>.]</w:t>
      </w:r>
    </w:p>
    <w:p w14:paraId="2C82FA5B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Revels, J., Lubin, M., </w:t>
      </w:r>
      <w:proofErr w:type="spellStart"/>
      <w:r>
        <w:t>Papamarkou</w:t>
      </w:r>
      <w:proofErr w:type="spellEnd"/>
      <w:r>
        <w:t xml:space="preserve">, T. </w:t>
      </w:r>
      <w:proofErr w:type="spellStart"/>
      <w:r>
        <w:t>ForwardDiff.jl</w:t>
      </w:r>
      <w:proofErr w:type="spellEnd"/>
      <w:r>
        <w:t>. [AD package.]</w:t>
      </w:r>
    </w:p>
    <w:p w14:paraId="37CB2E4E" w14:textId="77777777" w:rsidR="00ED2733" w:rsidRDefault="00000000">
      <w:pPr>
        <w:pStyle w:val="ListParagraph"/>
        <w:numPr>
          <w:ilvl w:val="0"/>
          <w:numId w:val="3"/>
        </w:numPr>
        <w:spacing w:before="30" w:after="30"/>
      </w:pPr>
      <w:r>
        <w:t>Levenberg, K. (1944) and Marquardt, D. W. (1963). [LM algorithm originals.]</w:t>
      </w:r>
    </w:p>
    <w:sectPr w:rsidR="00ED273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9DDC3" w14:textId="77777777" w:rsidR="00CA0603" w:rsidRDefault="00CA0603">
      <w:r>
        <w:separator/>
      </w:r>
    </w:p>
  </w:endnote>
  <w:endnote w:type="continuationSeparator" w:id="0">
    <w:p w14:paraId="7CAD3864" w14:textId="77777777" w:rsidR="00CA0603" w:rsidRDefault="00CA0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87F4A" w14:textId="77777777" w:rsidR="00ED2733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C10388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C10388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B1FD8" w14:textId="77777777" w:rsidR="00CA0603" w:rsidRDefault="00CA0603">
      <w:r>
        <w:separator/>
      </w:r>
    </w:p>
  </w:footnote>
  <w:footnote w:type="continuationSeparator" w:id="0">
    <w:p w14:paraId="417B5656" w14:textId="77777777" w:rsidR="00CA0603" w:rsidRDefault="00CA0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2564" w14:textId="77777777" w:rsidR="00ED2733" w:rsidRDefault="00000000">
    <w:pPr>
      <w:jc w:val="right"/>
    </w:pPr>
    <w:r>
      <w:rPr>
        <w:i/>
        <w:iCs/>
        <w:color w:val="595959"/>
        <w:sz w:val="18"/>
        <w:szCs w:val="18"/>
      </w:rPr>
      <w:t>ADPN EHD Model — CBE-GY 6153 Group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16827"/>
    <w:multiLevelType w:val="hybridMultilevel"/>
    <w:tmpl w:val="EA14C54A"/>
    <w:lvl w:ilvl="0" w:tplc="63460EEA">
      <w:start w:val="1"/>
      <w:numFmt w:val="bullet"/>
      <w:lvlText w:val="•"/>
      <w:lvlJc w:val="left"/>
      <w:pPr>
        <w:ind w:left="720" w:hanging="360"/>
      </w:pPr>
    </w:lvl>
    <w:lvl w:ilvl="1" w:tplc="7BB06A54">
      <w:start w:val="1"/>
      <w:numFmt w:val="bullet"/>
      <w:lvlText w:val="◦"/>
      <w:lvlJc w:val="left"/>
      <w:pPr>
        <w:ind w:left="1440" w:hanging="360"/>
      </w:pPr>
    </w:lvl>
    <w:lvl w:ilvl="2" w:tplc="ACD858E0">
      <w:numFmt w:val="decimal"/>
      <w:lvlText w:val=""/>
      <w:lvlJc w:val="left"/>
    </w:lvl>
    <w:lvl w:ilvl="3" w:tplc="E65A8F8E">
      <w:numFmt w:val="decimal"/>
      <w:lvlText w:val=""/>
      <w:lvlJc w:val="left"/>
    </w:lvl>
    <w:lvl w:ilvl="4" w:tplc="AD2AD686">
      <w:numFmt w:val="decimal"/>
      <w:lvlText w:val=""/>
      <w:lvlJc w:val="left"/>
    </w:lvl>
    <w:lvl w:ilvl="5" w:tplc="603A2926">
      <w:numFmt w:val="decimal"/>
      <w:lvlText w:val=""/>
      <w:lvlJc w:val="left"/>
    </w:lvl>
    <w:lvl w:ilvl="6" w:tplc="E740436E">
      <w:numFmt w:val="decimal"/>
      <w:lvlText w:val=""/>
      <w:lvlJc w:val="left"/>
    </w:lvl>
    <w:lvl w:ilvl="7" w:tplc="337C8AEE">
      <w:numFmt w:val="decimal"/>
      <w:lvlText w:val=""/>
      <w:lvlJc w:val="left"/>
    </w:lvl>
    <w:lvl w:ilvl="8" w:tplc="49FA72EC">
      <w:numFmt w:val="decimal"/>
      <w:lvlText w:val=""/>
      <w:lvlJc w:val="left"/>
    </w:lvl>
  </w:abstractNum>
  <w:abstractNum w:abstractNumId="1" w15:restartNumberingAfterBreak="0">
    <w:nsid w:val="48AB7EE7"/>
    <w:multiLevelType w:val="hybridMultilevel"/>
    <w:tmpl w:val="5B58DCCA"/>
    <w:lvl w:ilvl="0" w:tplc="B67E7112">
      <w:start w:val="1"/>
      <w:numFmt w:val="decimal"/>
      <w:lvlText w:val="%1."/>
      <w:lvlJc w:val="left"/>
      <w:pPr>
        <w:ind w:left="720" w:hanging="360"/>
      </w:pPr>
    </w:lvl>
    <w:lvl w:ilvl="1" w:tplc="4F0E3A90">
      <w:numFmt w:val="decimal"/>
      <w:lvlText w:val=""/>
      <w:lvlJc w:val="left"/>
    </w:lvl>
    <w:lvl w:ilvl="2" w:tplc="258A9D02">
      <w:numFmt w:val="decimal"/>
      <w:lvlText w:val=""/>
      <w:lvlJc w:val="left"/>
    </w:lvl>
    <w:lvl w:ilvl="3" w:tplc="DCEAAB88">
      <w:numFmt w:val="decimal"/>
      <w:lvlText w:val=""/>
      <w:lvlJc w:val="left"/>
    </w:lvl>
    <w:lvl w:ilvl="4" w:tplc="FD58D772">
      <w:numFmt w:val="decimal"/>
      <w:lvlText w:val=""/>
      <w:lvlJc w:val="left"/>
    </w:lvl>
    <w:lvl w:ilvl="5" w:tplc="E894FF4E">
      <w:numFmt w:val="decimal"/>
      <w:lvlText w:val=""/>
      <w:lvlJc w:val="left"/>
    </w:lvl>
    <w:lvl w:ilvl="6" w:tplc="1898EFD4">
      <w:numFmt w:val="decimal"/>
      <w:lvlText w:val=""/>
      <w:lvlJc w:val="left"/>
    </w:lvl>
    <w:lvl w:ilvl="7" w:tplc="4D5E806C">
      <w:numFmt w:val="decimal"/>
      <w:lvlText w:val=""/>
      <w:lvlJc w:val="left"/>
    </w:lvl>
    <w:lvl w:ilvl="8" w:tplc="29FE820C">
      <w:numFmt w:val="decimal"/>
      <w:lvlText w:val=""/>
      <w:lvlJc w:val="left"/>
    </w:lvl>
  </w:abstractNum>
  <w:abstractNum w:abstractNumId="2" w15:restartNumberingAfterBreak="0">
    <w:nsid w:val="791F7CE8"/>
    <w:multiLevelType w:val="hybridMultilevel"/>
    <w:tmpl w:val="39305E1A"/>
    <w:lvl w:ilvl="0" w:tplc="70722244">
      <w:start w:val="1"/>
      <w:numFmt w:val="bullet"/>
      <w:lvlText w:val="●"/>
      <w:lvlJc w:val="left"/>
      <w:pPr>
        <w:ind w:left="720" w:hanging="360"/>
      </w:pPr>
    </w:lvl>
    <w:lvl w:ilvl="1" w:tplc="F7BEEBC8">
      <w:start w:val="1"/>
      <w:numFmt w:val="bullet"/>
      <w:lvlText w:val="○"/>
      <w:lvlJc w:val="left"/>
      <w:pPr>
        <w:ind w:left="1440" w:hanging="360"/>
      </w:pPr>
    </w:lvl>
    <w:lvl w:ilvl="2" w:tplc="F702BAA6">
      <w:start w:val="1"/>
      <w:numFmt w:val="bullet"/>
      <w:lvlText w:val="■"/>
      <w:lvlJc w:val="left"/>
      <w:pPr>
        <w:ind w:left="2160" w:hanging="360"/>
      </w:pPr>
    </w:lvl>
    <w:lvl w:ilvl="3" w:tplc="2A8A496A">
      <w:start w:val="1"/>
      <w:numFmt w:val="bullet"/>
      <w:lvlText w:val="●"/>
      <w:lvlJc w:val="left"/>
      <w:pPr>
        <w:ind w:left="2880" w:hanging="360"/>
      </w:pPr>
    </w:lvl>
    <w:lvl w:ilvl="4" w:tplc="BDA267F8">
      <w:start w:val="1"/>
      <w:numFmt w:val="bullet"/>
      <w:lvlText w:val="○"/>
      <w:lvlJc w:val="left"/>
      <w:pPr>
        <w:ind w:left="3600" w:hanging="360"/>
      </w:pPr>
    </w:lvl>
    <w:lvl w:ilvl="5" w:tplc="F34EC11E">
      <w:start w:val="1"/>
      <w:numFmt w:val="bullet"/>
      <w:lvlText w:val="■"/>
      <w:lvlJc w:val="left"/>
      <w:pPr>
        <w:ind w:left="4320" w:hanging="360"/>
      </w:pPr>
    </w:lvl>
    <w:lvl w:ilvl="6" w:tplc="21123006">
      <w:start w:val="1"/>
      <w:numFmt w:val="bullet"/>
      <w:lvlText w:val="●"/>
      <w:lvlJc w:val="left"/>
      <w:pPr>
        <w:ind w:left="5040" w:hanging="360"/>
      </w:pPr>
    </w:lvl>
    <w:lvl w:ilvl="7" w:tplc="D0A0200A">
      <w:start w:val="1"/>
      <w:numFmt w:val="bullet"/>
      <w:lvlText w:val="●"/>
      <w:lvlJc w:val="left"/>
      <w:pPr>
        <w:ind w:left="5760" w:hanging="360"/>
      </w:pPr>
    </w:lvl>
    <w:lvl w:ilvl="8" w:tplc="9EA4A212">
      <w:start w:val="1"/>
      <w:numFmt w:val="bullet"/>
      <w:lvlText w:val="●"/>
      <w:lvlJc w:val="left"/>
      <w:pPr>
        <w:ind w:left="6480" w:hanging="360"/>
      </w:pPr>
    </w:lvl>
  </w:abstractNum>
  <w:num w:numId="1" w16cid:durableId="752437817">
    <w:abstractNumId w:val="2"/>
    <w:lvlOverride w:ilvl="0">
      <w:startOverride w:val="1"/>
    </w:lvlOverride>
  </w:num>
  <w:num w:numId="2" w16cid:durableId="454371405">
    <w:abstractNumId w:val="0"/>
    <w:lvlOverride w:ilvl="0">
      <w:startOverride w:val="1"/>
    </w:lvlOverride>
  </w:num>
  <w:num w:numId="3" w16cid:durableId="17143839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733"/>
    <w:rsid w:val="00006A2F"/>
    <w:rsid w:val="00015A7F"/>
    <w:rsid w:val="00043134"/>
    <w:rsid w:val="00070539"/>
    <w:rsid w:val="00083968"/>
    <w:rsid w:val="00093CBB"/>
    <w:rsid w:val="000A0F49"/>
    <w:rsid w:val="000C5BDF"/>
    <w:rsid w:val="000C7C2F"/>
    <w:rsid w:val="000D5F15"/>
    <w:rsid w:val="00101F13"/>
    <w:rsid w:val="00111A58"/>
    <w:rsid w:val="00133DD3"/>
    <w:rsid w:val="00135D6C"/>
    <w:rsid w:val="00136665"/>
    <w:rsid w:val="00172CA3"/>
    <w:rsid w:val="00186BFF"/>
    <w:rsid w:val="001E2428"/>
    <w:rsid w:val="001F4C64"/>
    <w:rsid w:val="00246D8A"/>
    <w:rsid w:val="0029184D"/>
    <w:rsid w:val="002A7574"/>
    <w:rsid w:val="002B1B4F"/>
    <w:rsid w:val="002B6682"/>
    <w:rsid w:val="002E1168"/>
    <w:rsid w:val="00302EB5"/>
    <w:rsid w:val="00363CD1"/>
    <w:rsid w:val="00367D62"/>
    <w:rsid w:val="003836F9"/>
    <w:rsid w:val="003977F1"/>
    <w:rsid w:val="003A79BB"/>
    <w:rsid w:val="003C2530"/>
    <w:rsid w:val="00444D36"/>
    <w:rsid w:val="004505ED"/>
    <w:rsid w:val="004821CF"/>
    <w:rsid w:val="004B1B8C"/>
    <w:rsid w:val="004B40E0"/>
    <w:rsid w:val="004C1FE6"/>
    <w:rsid w:val="004C2BDE"/>
    <w:rsid w:val="004C5A44"/>
    <w:rsid w:val="004E4FC4"/>
    <w:rsid w:val="004F601F"/>
    <w:rsid w:val="004F6878"/>
    <w:rsid w:val="00507540"/>
    <w:rsid w:val="00512D2C"/>
    <w:rsid w:val="005629B0"/>
    <w:rsid w:val="0056653C"/>
    <w:rsid w:val="00566F26"/>
    <w:rsid w:val="00587DFA"/>
    <w:rsid w:val="005B6497"/>
    <w:rsid w:val="005C0033"/>
    <w:rsid w:val="005D1793"/>
    <w:rsid w:val="005F01DC"/>
    <w:rsid w:val="00605CC2"/>
    <w:rsid w:val="006544A3"/>
    <w:rsid w:val="0065764A"/>
    <w:rsid w:val="00675419"/>
    <w:rsid w:val="00696AD8"/>
    <w:rsid w:val="00696E79"/>
    <w:rsid w:val="00736C4B"/>
    <w:rsid w:val="0077205F"/>
    <w:rsid w:val="00772621"/>
    <w:rsid w:val="007A7D8F"/>
    <w:rsid w:val="008917FC"/>
    <w:rsid w:val="008C773D"/>
    <w:rsid w:val="008F67D6"/>
    <w:rsid w:val="00902B95"/>
    <w:rsid w:val="00973230"/>
    <w:rsid w:val="00981E37"/>
    <w:rsid w:val="00984A91"/>
    <w:rsid w:val="00992A25"/>
    <w:rsid w:val="009A4479"/>
    <w:rsid w:val="009D4A48"/>
    <w:rsid w:val="009D5E34"/>
    <w:rsid w:val="00A04860"/>
    <w:rsid w:val="00A13F36"/>
    <w:rsid w:val="00A205FB"/>
    <w:rsid w:val="00A344C4"/>
    <w:rsid w:val="00A758AF"/>
    <w:rsid w:val="00A949B1"/>
    <w:rsid w:val="00AA0A4B"/>
    <w:rsid w:val="00AA7EBE"/>
    <w:rsid w:val="00AE333C"/>
    <w:rsid w:val="00AE6D04"/>
    <w:rsid w:val="00B0245D"/>
    <w:rsid w:val="00B175E1"/>
    <w:rsid w:val="00B2799F"/>
    <w:rsid w:val="00B437C1"/>
    <w:rsid w:val="00B458EE"/>
    <w:rsid w:val="00B53B5F"/>
    <w:rsid w:val="00B61C59"/>
    <w:rsid w:val="00B6734F"/>
    <w:rsid w:val="00BB4B8D"/>
    <w:rsid w:val="00C10388"/>
    <w:rsid w:val="00C25B40"/>
    <w:rsid w:val="00C50443"/>
    <w:rsid w:val="00C5110E"/>
    <w:rsid w:val="00C607B8"/>
    <w:rsid w:val="00C62125"/>
    <w:rsid w:val="00CA0603"/>
    <w:rsid w:val="00CB02D7"/>
    <w:rsid w:val="00CC3A37"/>
    <w:rsid w:val="00D00355"/>
    <w:rsid w:val="00D1044F"/>
    <w:rsid w:val="00D15528"/>
    <w:rsid w:val="00D55F7B"/>
    <w:rsid w:val="00DA60AA"/>
    <w:rsid w:val="00E379E0"/>
    <w:rsid w:val="00E6205E"/>
    <w:rsid w:val="00E701E5"/>
    <w:rsid w:val="00E86494"/>
    <w:rsid w:val="00ED2733"/>
    <w:rsid w:val="00EE6BFD"/>
    <w:rsid w:val="00F450E2"/>
    <w:rsid w:val="00F71F34"/>
    <w:rsid w:val="00F82C2E"/>
    <w:rsid w:val="00F83266"/>
    <w:rsid w:val="00F87C5B"/>
    <w:rsid w:val="00FA07C0"/>
    <w:rsid w:val="00FA17F4"/>
    <w:rsid w:val="00FB1A43"/>
    <w:rsid w:val="00FB1E39"/>
    <w:rsid w:val="00FE0A86"/>
    <w:rsid w:val="00FF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EC26DB"/>
  <w15:docId w15:val="{749F6AC5-F123-5E46-8545-52A7CB965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i/>
      <w:iCs/>
      <w:color w:val="2E75B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9</Pages>
  <Words>2798</Words>
  <Characters>15335</Characters>
  <Application>Microsoft Office Word</Application>
  <DocSecurity>0</DocSecurity>
  <Lines>365</Lines>
  <Paragraphs>287</Paragraphs>
  <ScaleCrop>false</ScaleCrop>
  <Company/>
  <LinksUpToDate>false</LinksUpToDate>
  <CharactersWithSpaces>17846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ADPN Model Draft — Outline</dc:title>
  <dc:creator>Claude</dc:creator>
  <cp:lastModifiedBy>Sebastian Castro</cp:lastModifiedBy>
  <cp:revision>139</cp:revision>
  <dcterms:created xsi:type="dcterms:W3CDTF">2026-04-30T21:42:00Z</dcterms:created>
  <dcterms:modified xsi:type="dcterms:W3CDTF">2026-05-01T15:30:00Z</dcterms:modified>
</cp:coreProperties>
</file>