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AEBFA3" w14:textId="77777777" w:rsidR="00E61A29" w:rsidRPr="00E61A29" w:rsidRDefault="00E61A29" w:rsidP="00E61A29">
      <w:pPr>
        <w:shd w:val="clear" w:color="auto" w:fill="FFFFFF"/>
        <w:spacing w:before="161" w:after="161" w:line="312" w:lineRule="atLeast"/>
        <w:outlineLvl w:val="0"/>
        <w:rPr>
          <w:rFonts w:ascii="Arial" w:eastAsia="Times New Roman" w:hAnsi="Arial" w:cs="Arial"/>
          <w:b/>
          <w:bCs/>
          <w:color w:val="1B1B1B"/>
          <w:kern w:val="36"/>
          <w:sz w:val="60"/>
          <w:szCs w:val="60"/>
          <w14:ligatures w14:val="none"/>
        </w:rPr>
      </w:pPr>
      <w:r w:rsidRPr="00E61A29">
        <w:rPr>
          <w:rFonts w:ascii="Arial" w:eastAsia="Times New Roman" w:hAnsi="Arial" w:cs="Arial"/>
          <w:b/>
          <w:bCs/>
          <w:color w:val="1B1B1B"/>
          <w:kern w:val="36"/>
          <w:sz w:val="60"/>
          <w:szCs w:val="60"/>
          <w14:ligatures w14:val="none"/>
        </w:rPr>
        <w:t>Medications at Transitions and Clinical Handoffs (MATCH) Toolkit for Medication Reconciliation</w:t>
      </w:r>
    </w:p>
    <w:p w14:paraId="37188F9D" w14:textId="77777777" w:rsidR="00E8302A" w:rsidRPr="00E8302A" w:rsidRDefault="00E8302A" w:rsidP="00E8302A">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8302A">
        <w:rPr>
          <w:rFonts w:ascii="Source Sans Pro" w:eastAsia="Times New Roman" w:hAnsi="Source Sans Pro" w:cs="Times New Roman"/>
          <w:color w:val="1B1B1B"/>
          <w:kern w:val="0"/>
          <w:sz w:val="26"/>
          <w:szCs w:val="26"/>
          <w14:ligatures w14:val="none"/>
        </w:rPr>
        <w:t>Medication reconciliation is a complex process that impacts all patients as they move through all health care settings. It is a comparison of the patient's current medication regimen against the physician's admission, transfer, and/or discharge orders to identify discrepancies. Any discrepancies noted are discussed with the prescriber, and the order is modified, if necessary. (A complete definition of medication reconciliation is available in the </w:t>
      </w:r>
      <w:hyperlink r:id="rId5" w:history="1">
        <w:r w:rsidRPr="00E8302A">
          <w:rPr>
            <w:rFonts w:ascii="Source Sans Pro" w:eastAsia="Times New Roman" w:hAnsi="Source Sans Pro" w:cs="Times New Roman"/>
            <w:color w:val="005B94"/>
            <w:kern w:val="0"/>
            <w:sz w:val="26"/>
            <w:szCs w:val="26"/>
            <w:u w:val="single"/>
            <w14:ligatures w14:val="none"/>
          </w:rPr>
          <w:t>Appendix</w:t>
        </w:r>
      </w:hyperlink>
      <w:r w:rsidRPr="00E8302A">
        <w:rPr>
          <w:rFonts w:ascii="Source Sans Pro" w:eastAsia="Times New Roman" w:hAnsi="Source Sans Pro" w:cs="Times New Roman"/>
          <w:color w:val="1B1B1B"/>
          <w:kern w:val="0"/>
          <w:sz w:val="26"/>
          <w:szCs w:val="26"/>
          <w14:ligatures w14:val="none"/>
        </w:rPr>
        <w:t>.)</w:t>
      </w:r>
    </w:p>
    <w:p w14:paraId="444A3933" w14:textId="77777777" w:rsidR="00E8302A" w:rsidRPr="00E8302A" w:rsidRDefault="00E8302A" w:rsidP="00E8302A">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8302A">
        <w:rPr>
          <w:rFonts w:ascii="Source Sans Pro" w:eastAsia="Times New Roman" w:hAnsi="Source Sans Pro" w:cs="Times New Roman"/>
          <w:color w:val="1B1B1B"/>
          <w:kern w:val="0"/>
          <w:sz w:val="26"/>
          <w:szCs w:val="26"/>
          <w14:ligatures w14:val="none"/>
        </w:rPr>
        <w:t>Although this toolkit is based on processes developed in acute-care settings, the core processes, tools, and resources can be adapted for use in non-acute facilities.</w:t>
      </w:r>
    </w:p>
    <w:p w14:paraId="6E813816" w14:textId="77777777" w:rsidR="00E8302A" w:rsidRPr="00E8302A" w:rsidRDefault="00E8302A" w:rsidP="00E8302A">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8302A">
        <w:rPr>
          <w:rFonts w:ascii="Source Sans Pro" w:eastAsia="Times New Roman" w:hAnsi="Source Sans Pro" w:cs="Times New Roman"/>
          <w:color w:val="1B1B1B"/>
          <w:kern w:val="0"/>
          <w:sz w:val="26"/>
          <w:szCs w:val="26"/>
          <w14:ligatures w14:val="none"/>
        </w:rPr>
        <w:t>Medication reconciliation is a process to decrease medication errors and patient harm in the following ways:</w:t>
      </w:r>
    </w:p>
    <w:p w14:paraId="6E5186AC" w14:textId="77777777" w:rsidR="00E8302A" w:rsidRPr="00E8302A" w:rsidRDefault="00E8302A" w:rsidP="00E8302A">
      <w:pPr>
        <w:numPr>
          <w:ilvl w:val="0"/>
          <w:numId w:val="1"/>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8302A">
        <w:rPr>
          <w:rFonts w:ascii="Source Sans Pro" w:eastAsia="Times New Roman" w:hAnsi="Source Sans Pro" w:cs="Times New Roman"/>
          <w:color w:val="1B1B1B"/>
          <w:kern w:val="0"/>
          <w:sz w:val="26"/>
          <w:szCs w:val="26"/>
          <w14:ligatures w14:val="none"/>
        </w:rPr>
        <w:t>Obtaining, verifying, and documenting the patient's current prescription and over-the-counter medications—including vitamins, supplements, eye drops, creams, ointments, and herbals—when he or she is admitted to the hospital or is seen in an outpatient setting.</w:t>
      </w:r>
    </w:p>
    <w:p w14:paraId="48A856DD" w14:textId="77777777" w:rsidR="00E8302A" w:rsidRPr="00E8302A" w:rsidRDefault="00E8302A" w:rsidP="00E8302A">
      <w:pPr>
        <w:numPr>
          <w:ilvl w:val="0"/>
          <w:numId w:val="1"/>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8302A">
        <w:rPr>
          <w:rFonts w:ascii="Source Sans Pro" w:eastAsia="Times New Roman" w:hAnsi="Source Sans Pro" w:cs="Times New Roman"/>
          <w:color w:val="1B1B1B"/>
          <w:kern w:val="0"/>
          <w:sz w:val="26"/>
          <w:szCs w:val="26"/>
          <w14:ligatures w14:val="none"/>
        </w:rPr>
        <w:t xml:space="preserve">Considering the patient's pre-admission/home medication list when ordering medicines during a hospital encounter and continuing home medications as </w:t>
      </w:r>
      <w:proofErr w:type="gramStart"/>
      <w:r w:rsidRPr="00E8302A">
        <w:rPr>
          <w:rFonts w:ascii="Source Sans Pro" w:eastAsia="Times New Roman" w:hAnsi="Source Sans Pro" w:cs="Times New Roman"/>
          <w:color w:val="1B1B1B"/>
          <w:kern w:val="0"/>
          <w:sz w:val="26"/>
          <w:szCs w:val="26"/>
          <w14:ligatures w14:val="none"/>
        </w:rPr>
        <w:t>appropriate, and</w:t>
      </w:r>
      <w:proofErr w:type="gramEnd"/>
      <w:r w:rsidRPr="00E8302A">
        <w:rPr>
          <w:rFonts w:ascii="Source Sans Pro" w:eastAsia="Times New Roman" w:hAnsi="Source Sans Pro" w:cs="Times New Roman"/>
          <w:color w:val="1B1B1B"/>
          <w:kern w:val="0"/>
          <w:sz w:val="26"/>
          <w:szCs w:val="26"/>
          <w14:ligatures w14:val="none"/>
        </w:rPr>
        <w:t xml:space="preserve"> comparing the patient's pre-admission/home medication list to ordered medicines and treatment plans to identify unintended discrepancies (i.e., those not explained by the patient's clinical condition or formulary status).</w:t>
      </w:r>
    </w:p>
    <w:p w14:paraId="7D194927" w14:textId="77777777" w:rsidR="00E8302A" w:rsidRPr="00E8302A" w:rsidRDefault="00E8302A" w:rsidP="00E8302A">
      <w:pPr>
        <w:numPr>
          <w:ilvl w:val="0"/>
          <w:numId w:val="1"/>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8302A">
        <w:rPr>
          <w:rFonts w:ascii="Source Sans Pro" w:eastAsia="Times New Roman" w:hAnsi="Source Sans Pro" w:cs="Times New Roman"/>
          <w:color w:val="1B1B1B"/>
          <w:kern w:val="0"/>
          <w:sz w:val="26"/>
          <w:szCs w:val="26"/>
          <w14:ligatures w14:val="none"/>
        </w:rPr>
        <w:t>Verifying the patient's home medication list and discussing unintended discrepancies with the physician for resolution.</w:t>
      </w:r>
    </w:p>
    <w:p w14:paraId="4E185A73" w14:textId="77777777" w:rsidR="00E8302A" w:rsidRPr="00E8302A" w:rsidRDefault="00E8302A" w:rsidP="00E8302A">
      <w:pPr>
        <w:numPr>
          <w:ilvl w:val="0"/>
          <w:numId w:val="1"/>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8302A">
        <w:rPr>
          <w:rFonts w:ascii="Source Sans Pro" w:eastAsia="Times New Roman" w:hAnsi="Source Sans Pro" w:cs="Times New Roman"/>
          <w:color w:val="1B1B1B"/>
          <w:kern w:val="0"/>
          <w:sz w:val="26"/>
          <w:szCs w:val="26"/>
          <w14:ligatures w14:val="none"/>
        </w:rPr>
        <w:t>Providing an updated medication list and communicating the importance of managing medication information to the patient when he or she is discharged from the hospital or at the end of an outpatient encounter.</w:t>
      </w:r>
    </w:p>
    <w:p w14:paraId="1752BC3B" w14:textId="77777777" w:rsidR="00E8302A" w:rsidRPr="00E8302A" w:rsidRDefault="00E8302A" w:rsidP="00E8302A">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8302A">
        <w:rPr>
          <w:rFonts w:ascii="Source Sans Pro" w:eastAsia="Times New Roman" w:hAnsi="Source Sans Pro" w:cs="Times New Roman"/>
          <w:color w:val="1B1B1B"/>
          <w:kern w:val="0"/>
          <w:sz w:val="26"/>
          <w:szCs w:val="26"/>
          <w14:ligatures w14:val="none"/>
        </w:rPr>
        <w:lastRenderedPageBreak/>
        <w:t>The effectiveness of a sound medication reconciliation process within and among care settings is an important component of patient safety goals. While many health care providers already have medication reconciliation processes in place, this toolkit will facilitate a review and improvement of current practices to strengthen the process with the result of improved patient safety.</w:t>
      </w:r>
    </w:p>
    <w:p w14:paraId="5C0BDDBA" w14:textId="29D3E8DE" w:rsidR="00E8302A" w:rsidRPr="00E8302A" w:rsidRDefault="00E8302A" w:rsidP="00E8302A">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8302A">
        <w:rPr>
          <w:rFonts w:ascii="Source Sans Pro" w:eastAsia="Times New Roman" w:hAnsi="Source Sans Pro" w:cs="Times New Roman"/>
          <w:color w:val="1B1B1B"/>
          <w:kern w:val="0"/>
          <w:sz w:val="26"/>
          <w:szCs w:val="26"/>
          <w14:ligatures w14:val="none"/>
        </w:rPr>
        <w:t>This toolkit is based on the Medications at Transitions and Clinical Handoffs (MATCH) Web site developed through the support of the Agency for Healthcare Research and Quality and collaboration between Northwestern Memorial Hospital, Northwestern University Feinberg School of Medicine in Chicago, Illinois, and The Joint Commission. It is available at: </w:t>
      </w:r>
      <w:hyperlink r:id="rId6" w:tgtFrame="_blank" w:history="1">
        <w:r w:rsidRPr="00E8302A">
          <w:rPr>
            <w:rFonts w:ascii="Source Sans Pro" w:eastAsia="Times New Roman" w:hAnsi="Source Sans Pro" w:cs="Times New Roman"/>
            <w:color w:val="005B94"/>
            <w:kern w:val="0"/>
            <w:sz w:val="26"/>
            <w:szCs w:val="26"/>
            <w:u w:val="single"/>
            <w14:ligatures w14:val="none"/>
          </w:rPr>
          <w:t>http://www.nmh.org</w:t>
        </w:r>
      </w:hyperlink>
      <w:r w:rsidRPr="00E8302A">
        <w:rPr>
          <w:rFonts w:ascii="Source Sans Pro" w:eastAsia="Times New Roman" w:hAnsi="Source Sans Pro" w:cs="Times New Roman"/>
          <w:color w:val="1B1B1B"/>
          <w:kern w:val="0"/>
          <w:sz w:val="26"/>
          <w:szCs w:val="26"/>
          <w14:ligatures w14:val="none"/>
        </w:rPr>
        <w:t> </w:t>
      </w:r>
      <w:r w:rsidRPr="00E8302A">
        <w:rPr>
          <w:rFonts w:ascii="Source Sans Pro" w:eastAsia="Times New Roman" w:hAnsi="Source Sans Pro" w:cs="Times New Roman"/>
          <w:noProof/>
          <w:color w:val="005B94"/>
          <w:kern w:val="0"/>
          <w:sz w:val="26"/>
          <w:szCs w:val="26"/>
          <w14:ligatures w14:val="none"/>
        </w:rPr>
        <w:drawing>
          <wp:inline distT="0" distB="0" distL="0" distR="0" wp14:anchorId="7AAF6DE9" wp14:editId="5A9BE603">
            <wp:extent cx="253365" cy="253365"/>
            <wp:effectExtent l="0" t="0" r="635" b="635"/>
            <wp:docPr id="629831966" name="Picture 1" descr="External Link Disclaimer">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ternal Link Disclaimer">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3365" cy="253365"/>
                    </a:xfrm>
                    <a:prstGeom prst="rect">
                      <a:avLst/>
                    </a:prstGeom>
                    <a:noFill/>
                    <a:ln>
                      <a:noFill/>
                    </a:ln>
                  </pic:spPr>
                </pic:pic>
              </a:graphicData>
            </a:graphic>
          </wp:inline>
        </w:drawing>
      </w:r>
      <w:r w:rsidRPr="00E8302A">
        <w:rPr>
          <w:rFonts w:ascii="Source Sans Pro" w:eastAsia="Times New Roman" w:hAnsi="Source Sans Pro" w:cs="Times New Roman"/>
          <w:color w:val="1B1B1B"/>
          <w:kern w:val="0"/>
          <w:sz w:val="26"/>
          <w:szCs w:val="26"/>
          <w14:ligatures w14:val="none"/>
        </w:rPr>
        <w:t> (search for "toolkit"). In addition to elements from the MATCH Web site, this toolkit also incorporates the experiences and lessons learned of facilities that have implemented MATCH and facilities that received technical assistance on MATCH through the AHRQ Quality Improvement Organization (QIO) Learning Network.</w:t>
      </w:r>
    </w:p>
    <w:p w14:paraId="4E460E8C" w14:textId="77777777" w:rsidR="00E8302A" w:rsidRPr="00E8302A" w:rsidRDefault="00E8302A" w:rsidP="00E8302A">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8302A">
        <w:rPr>
          <w:rFonts w:ascii="Source Sans Pro" w:eastAsia="Times New Roman" w:hAnsi="Source Sans Pro" w:cs="Times New Roman"/>
          <w:color w:val="1B1B1B"/>
          <w:kern w:val="0"/>
          <w:sz w:val="26"/>
          <w:szCs w:val="26"/>
          <w14:ligatures w14:val="none"/>
        </w:rPr>
        <w:t>While your facility may already have a medication reconciliation process in place, this toolkit will help you evaluate the effectiveness of the existing process, as well as identify and respond to any gaps. It promotes a successful approach to medication management and reconciliation that emphasizes standardization of the process for doctors, nurses, and pharmacists within the facility to document and confirm a patient's home medication list upon admission. It also emphasizes the need to clearly define roles and responsibilities of clinical staff. Standardizing the process for collecting home medication lists, as well as the location and means of documenting this information, ensures that the most accurate, complete medication history is documented for each patient; all the inpatient and home medications are reconciled; and the information is accessible to the entire health team.</w:t>
      </w:r>
    </w:p>
    <w:p w14:paraId="70A8F2DD" w14:textId="77777777" w:rsidR="00E8302A" w:rsidRPr="00E8302A" w:rsidRDefault="00E8302A" w:rsidP="00E8302A">
      <w:pPr>
        <w:shd w:val="clear" w:color="auto" w:fill="FFFFFF"/>
        <w:spacing w:after="100" w:afterAutospacing="1" w:line="312" w:lineRule="atLeast"/>
        <w:outlineLvl w:val="2"/>
        <w:rPr>
          <w:rFonts w:ascii="Arial" w:eastAsia="Times New Roman" w:hAnsi="Arial" w:cs="Arial"/>
          <w:b/>
          <w:bCs/>
          <w:color w:val="1B1B1B"/>
          <w:kern w:val="0"/>
          <w:sz w:val="36"/>
          <w:szCs w:val="36"/>
          <w14:ligatures w14:val="none"/>
        </w:rPr>
      </w:pPr>
      <w:r w:rsidRPr="00E8302A">
        <w:rPr>
          <w:rFonts w:ascii="Arial" w:eastAsia="Times New Roman" w:hAnsi="Arial" w:cs="Arial"/>
          <w:b/>
          <w:bCs/>
          <w:color w:val="1B1B1B"/>
          <w:kern w:val="0"/>
          <w:sz w:val="36"/>
          <w:szCs w:val="36"/>
          <w14:ligatures w14:val="none"/>
        </w:rPr>
        <w:t>How to Use This Toolkit</w:t>
      </w:r>
    </w:p>
    <w:p w14:paraId="1C79F89B" w14:textId="77777777" w:rsidR="00E8302A" w:rsidRPr="00E8302A" w:rsidRDefault="00E8302A" w:rsidP="00E8302A">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8302A">
        <w:rPr>
          <w:rFonts w:ascii="Source Sans Pro" w:eastAsia="Times New Roman" w:hAnsi="Source Sans Pro" w:cs="Times New Roman"/>
          <w:color w:val="1B1B1B"/>
          <w:kern w:val="0"/>
          <w:sz w:val="26"/>
          <w:szCs w:val="26"/>
          <w14:ligatures w14:val="none"/>
        </w:rPr>
        <w:t>This toolkit provides a step-by-step guide to improving the medication reconciliation process. Users are encouraged to follow the steps in the order presented. Each step builds upon the next to present a systematic methodology for critically reviewing and improving the medication reconciliation processes.</w:t>
      </w:r>
    </w:p>
    <w:p w14:paraId="0E431094" w14:textId="77777777" w:rsidR="00E8302A" w:rsidRPr="00E8302A" w:rsidRDefault="00E8302A" w:rsidP="00E8302A">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8302A">
        <w:rPr>
          <w:rFonts w:ascii="Source Sans Pro" w:eastAsia="Times New Roman" w:hAnsi="Source Sans Pro" w:cs="Times New Roman"/>
          <w:color w:val="1B1B1B"/>
          <w:kern w:val="0"/>
          <w:sz w:val="26"/>
          <w:szCs w:val="26"/>
          <w14:ligatures w14:val="none"/>
        </w:rPr>
        <w:t>This toolkit is divided into seven components to assist with improvement:</w:t>
      </w:r>
    </w:p>
    <w:p w14:paraId="3DDFAF12" w14:textId="77777777" w:rsidR="00E8302A" w:rsidRPr="00E8302A" w:rsidRDefault="00E8302A" w:rsidP="00E8302A">
      <w:pPr>
        <w:numPr>
          <w:ilvl w:val="0"/>
          <w:numId w:val="2"/>
        </w:numPr>
        <w:shd w:val="clear" w:color="auto" w:fill="FFFFFF"/>
        <w:spacing w:before="100" w:beforeAutospacing="1" w:after="100" w:afterAutospacing="1" w:line="360" w:lineRule="atLeast"/>
        <w:rPr>
          <w:rFonts w:ascii="Source Sans Pro" w:eastAsia="Times New Roman" w:hAnsi="Source Sans Pro" w:cs="Times New Roman"/>
          <w:color w:val="1B1B1B"/>
          <w:kern w:val="0"/>
          <w:sz w:val="26"/>
          <w:szCs w:val="26"/>
          <w14:ligatures w14:val="none"/>
        </w:rPr>
      </w:pPr>
      <w:r w:rsidRPr="00E8302A">
        <w:rPr>
          <w:rFonts w:ascii="Source Sans Pro" w:eastAsia="Times New Roman" w:hAnsi="Source Sans Pro" w:cs="Times New Roman"/>
          <w:color w:val="1B1B1B"/>
          <w:kern w:val="0"/>
          <w:sz w:val="26"/>
          <w:szCs w:val="26"/>
          <w14:ligatures w14:val="none"/>
        </w:rPr>
        <w:lastRenderedPageBreak/>
        <w:t>Building the Project Foundation: Gaining Leadership Support within the Organization.</w:t>
      </w:r>
    </w:p>
    <w:p w14:paraId="494C0CF2" w14:textId="77777777" w:rsidR="00E8302A" w:rsidRPr="00E8302A" w:rsidRDefault="00E8302A" w:rsidP="00E8302A">
      <w:pPr>
        <w:numPr>
          <w:ilvl w:val="0"/>
          <w:numId w:val="2"/>
        </w:numPr>
        <w:shd w:val="clear" w:color="auto" w:fill="FFFFFF"/>
        <w:spacing w:before="100" w:beforeAutospacing="1" w:after="100" w:afterAutospacing="1" w:line="360" w:lineRule="atLeast"/>
        <w:rPr>
          <w:rFonts w:ascii="Source Sans Pro" w:eastAsia="Times New Roman" w:hAnsi="Source Sans Pro" w:cs="Times New Roman"/>
          <w:color w:val="1B1B1B"/>
          <w:kern w:val="0"/>
          <w:sz w:val="26"/>
          <w:szCs w:val="26"/>
          <w14:ligatures w14:val="none"/>
        </w:rPr>
      </w:pPr>
      <w:r w:rsidRPr="00E8302A">
        <w:rPr>
          <w:rFonts w:ascii="Source Sans Pro" w:eastAsia="Times New Roman" w:hAnsi="Source Sans Pro" w:cs="Times New Roman"/>
          <w:color w:val="1B1B1B"/>
          <w:kern w:val="0"/>
          <w:sz w:val="26"/>
          <w:szCs w:val="26"/>
          <w14:ligatures w14:val="none"/>
        </w:rPr>
        <w:t>Building the Project Foundation: Project Teams and Scope.</w:t>
      </w:r>
    </w:p>
    <w:p w14:paraId="05997DBA" w14:textId="77777777" w:rsidR="00E8302A" w:rsidRPr="00E8302A" w:rsidRDefault="00E8302A" w:rsidP="00E8302A">
      <w:pPr>
        <w:numPr>
          <w:ilvl w:val="0"/>
          <w:numId w:val="2"/>
        </w:numPr>
        <w:shd w:val="clear" w:color="auto" w:fill="FFFFFF"/>
        <w:spacing w:before="100" w:beforeAutospacing="1" w:after="100" w:afterAutospacing="1" w:line="360" w:lineRule="atLeast"/>
        <w:rPr>
          <w:rFonts w:ascii="Source Sans Pro" w:eastAsia="Times New Roman" w:hAnsi="Source Sans Pro" w:cs="Times New Roman"/>
          <w:color w:val="1B1B1B"/>
          <w:kern w:val="0"/>
          <w:sz w:val="26"/>
          <w:szCs w:val="26"/>
          <w14:ligatures w14:val="none"/>
        </w:rPr>
      </w:pPr>
      <w:r w:rsidRPr="00E8302A">
        <w:rPr>
          <w:rFonts w:ascii="Source Sans Pro" w:eastAsia="Times New Roman" w:hAnsi="Source Sans Pro" w:cs="Times New Roman"/>
          <w:color w:val="1B1B1B"/>
          <w:kern w:val="0"/>
          <w:sz w:val="26"/>
          <w:szCs w:val="26"/>
          <w14:ligatures w14:val="none"/>
        </w:rPr>
        <w:t>Developing Change: Designing the Medication Reconciliation Process.</w:t>
      </w:r>
    </w:p>
    <w:p w14:paraId="6C790BEE" w14:textId="77777777" w:rsidR="00E8302A" w:rsidRPr="00E8302A" w:rsidRDefault="00E8302A" w:rsidP="00E8302A">
      <w:pPr>
        <w:numPr>
          <w:ilvl w:val="0"/>
          <w:numId w:val="2"/>
        </w:numPr>
        <w:shd w:val="clear" w:color="auto" w:fill="FFFFFF"/>
        <w:spacing w:before="100" w:beforeAutospacing="1" w:after="100" w:afterAutospacing="1" w:line="360" w:lineRule="atLeast"/>
        <w:rPr>
          <w:rFonts w:ascii="Source Sans Pro" w:eastAsia="Times New Roman" w:hAnsi="Source Sans Pro" w:cs="Times New Roman"/>
          <w:color w:val="1B1B1B"/>
          <w:kern w:val="0"/>
          <w:sz w:val="26"/>
          <w:szCs w:val="26"/>
          <w14:ligatures w14:val="none"/>
        </w:rPr>
      </w:pPr>
      <w:r w:rsidRPr="00E8302A">
        <w:rPr>
          <w:rFonts w:ascii="Source Sans Pro" w:eastAsia="Times New Roman" w:hAnsi="Source Sans Pro" w:cs="Times New Roman"/>
          <w:color w:val="1B1B1B"/>
          <w:kern w:val="0"/>
          <w:sz w:val="26"/>
          <w:szCs w:val="26"/>
          <w14:ligatures w14:val="none"/>
        </w:rPr>
        <w:t>Developing and Pilot Testing Change: Implementing the Medication Reconciliation Process.</w:t>
      </w:r>
    </w:p>
    <w:p w14:paraId="7ACB8E9C" w14:textId="77777777" w:rsidR="00E8302A" w:rsidRPr="00E8302A" w:rsidRDefault="00E8302A" w:rsidP="00E8302A">
      <w:pPr>
        <w:numPr>
          <w:ilvl w:val="0"/>
          <w:numId w:val="2"/>
        </w:numPr>
        <w:shd w:val="clear" w:color="auto" w:fill="FFFFFF"/>
        <w:spacing w:before="100" w:beforeAutospacing="1" w:after="100" w:afterAutospacing="1" w:line="360" w:lineRule="atLeast"/>
        <w:rPr>
          <w:rFonts w:ascii="Source Sans Pro" w:eastAsia="Times New Roman" w:hAnsi="Source Sans Pro" w:cs="Times New Roman"/>
          <w:color w:val="1B1B1B"/>
          <w:kern w:val="0"/>
          <w:sz w:val="26"/>
          <w:szCs w:val="26"/>
          <w14:ligatures w14:val="none"/>
        </w:rPr>
      </w:pPr>
      <w:r w:rsidRPr="00E8302A">
        <w:rPr>
          <w:rFonts w:ascii="Source Sans Pro" w:eastAsia="Times New Roman" w:hAnsi="Source Sans Pro" w:cs="Times New Roman"/>
          <w:color w:val="1B1B1B"/>
          <w:kern w:val="0"/>
          <w:sz w:val="26"/>
          <w:szCs w:val="26"/>
          <w14:ligatures w14:val="none"/>
        </w:rPr>
        <w:t>Education and Training.</w:t>
      </w:r>
    </w:p>
    <w:p w14:paraId="6E2AFF1D" w14:textId="77777777" w:rsidR="00E8302A" w:rsidRPr="00E8302A" w:rsidRDefault="00E8302A" w:rsidP="00E8302A">
      <w:pPr>
        <w:numPr>
          <w:ilvl w:val="0"/>
          <w:numId w:val="2"/>
        </w:numPr>
        <w:shd w:val="clear" w:color="auto" w:fill="FFFFFF"/>
        <w:spacing w:before="100" w:beforeAutospacing="1" w:after="100" w:afterAutospacing="1" w:line="360" w:lineRule="atLeast"/>
        <w:rPr>
          <w:rFonts w:ascii="Source Sans Pro" w:eastAsia="Times New Roman" w:hAnsi="Source Sans Pro" w:cs="Times New Roman"/>
          <w:color w:val="1B1B1B"/>
          <w:kern w:val="0"/>
          <w:sz w:val="26"/>
          <w:szCs w:val="26"/>
          <w14:ligatures w14:val="none"/>
        </w:rPr>
      </w:pPr>
      <w:r w:rsidRPr="00E8302A">
        <w:rPr>
          <w:rFonts w:ascii="Source Sans Pro" w:eastAsia="Times New Roman" w:hAnsi="Source Sans Pro" w:cs="Times New Roman"/>
          <w:color w:val="1B1B1B"/>
          <w:kern w:val="0"/>
          <w:sz w:val="26"/>
          <w:szCs w:val="26"/>
          <w14:ligatures w14:val="none"/>
        </w:rPr>
        <w:t>Assessment and Process Evaluation.</w:t>
      </w:r>
    </w:p>
    <w:p w14:paraId="0289F2E6" w14:textId="77777777" w:rsidR="00E8302A" w:rsidRPr="00E8302A" w:rsidRDefault="00E8302A" w:rsidP="00E8302A">
      <w:pPr>
        <w:numPr>
          <w:ilvl w:val="0"/>
          <w:numId w:val="2"/>
        </w:numPr>
        <w:shd w:val="clear" w:color="auto" w:fill="FFFFFF"/>
        <w:spacing w:before="100" w:beforeAutospacing="1" w:after="100" w:afterAutospacing="1" w:line="360" w:lineRule="atLeast"/>
        <w:rPr>
          <w:rFonts w:ascii="Source Sans Pro" w:eastAsia="Times New Roman" w:hAnsi="Source Sans Pro" w:cs="Times New Roman"/>
          <w:color w:val="1B1B1B"/>
          <w:kern w:val="0"/>
          <w:sz w:val="26"/>
          <w:szCs w:val="26"/>
          <w14:ligatures w14:val="none"/>
        </w:rPr>
      </w:pPr>
      <w:r w:rsidRPr="00E8302A">
        <w:rPr>
          <w:rFonts w:ascii="Source Sans Pro" w:eastAsia="Times New Roman" w:hAnsi="Source Sans Pro" w:cs="Times New Roman"/>
          <w:color w:val="1B1B1B"/>
          <w:kern w:val="0"/>
          <w:sz w:val="26"/>
          <w:szCs w:val="26"/>
          <w14:ligatures w14:val="none"/>
        </w:rPr>
        <w:t>High Risk Situations for Medication Reconciliation.</w:t>
      </w:r>
    </w:p>
    <w:p w14:paraId="013822AC" w14:textId="77777777" w:rsidR="00E8302A" w:rsidRPr="00E8302A" w:rsidRDefault="00E8302A" w:rsidP="00E8302A">
      <w:pPr>
        <w:shd w:val="clear" w:color="auto" w:fill="FFFFFF"/>
        <w:spacing w:after="0" w:line="360" w:lineRule="atLeast"/>
        <w:rPr>
          <w:rFonts w:ascii="Source Sans Pro" w:eastAsia="Times New Roman" w:hAnsi="Source Sans Pro" w:cs="Times New Roman"/>
          <w:color w:val="1B1B1B"/>
          <w:kern w:val="0"/>
          <w:sz w:val="26"/>
          <w:szCs w:val="26"/>
          <w14:ligatures w14:val="none"/>
        </w:rPr>
      </w:pPr>
      <w:r w:rsidRPr="00E8302A">
        <w:rPr>
          <w:rFonts w:ascii="Source Sans Pro" w:eastAsia="Times New Roman" w:hAnsi="Source Sans Pro" w:cs="Times New Roman"/>
          <w:color w:val="1B1B1B"/>
          <w:kern w:val="0"/>
          <w:sz w:val="26"/>
          <w:szCs w:val="26"/>
          <w14:ligatures w14:val="none"/>
        </w:rPr>
        <w:t>The Appendix also functions as a Work Plan to implement medication reconciliation in your facility according to the MATCH principles. The Work Plan is available as a </w:t>
      </w:r>
      <w:hyperlink r:id="rId9" w:history="1">
        <w:r w:rsidRPr="00E8302A">
          <w:rPr>
            <w:rFonts w:ascii="Source Sans Pro" w:eastAsia="Times New Roman" w:hAnsi="Source Sans Pro" w:cs="Times New Roman"/>
            <w:color w:val="005B94"/>
            <w:kern w:val="0"/>
            <w:sz w:val="26"/>
            <w:szCs w:val="26"/>
            <w:u w:val="single"/>
            <w14:ligatures w14:val="none"/>
          </w:rPr>
          <w:t>standalone file</w:t>
        </w:r>
      </w:hyperlink>
      <w:r w:rsidRPr="00E8302A">
        <w:rPr>
          <w:rFonts w:ascii="Source Sans Pro" w:eastAsia="Times New Roman" w:hAnsi="Source Sans Pro" w:cs="Times New Roman"/>
          <w:color w:val="1B1B1B"/>
          <w:kern w:val="0"/>
          <w:sz w:val="26"/>
          <w:szCs w:val="26"/>
          <w14:ligatures w14:val="none"/>
        </w:rPr>
        <w:t> so you can print multiple copies for use with leadership, design, and implementation teams.</w:t>
      </w:r>
    </w:p>
    <w:p w14:paraId="6196CE0B" w14:textId="77777777" w:rsidR="00E8302A" w:rsidRPr="00E8302A" w:rsidRDefault="00E8302A" w:rsidP="00E8302A">
      <w:pPr>
        <w:spacing w:after="0" w:line="240" w:lineRule="auto"/>
        <w:rPr>
          <w:rFonts w:ascii="Times New Roman" w:eastAsia="Times New Roman" w:hAnsi="Times New Roman" w:cs="Times New Roman"/>
          <w:kern w:val="0"/>
          <w14:ligatures w14:val="none"/>
        </w:rPr>
      </w:pPr>
    </w:p>
    <w:p w14:paraId="4BA5B8AF" w14:textId="77777777" w:rsidR="00E61A29" w:rsidRPr="00E61A29" w:rsidRDefault="00E61A29" w:rsidP="00E61A29">
      <w:pPr>
        <w:shd w:val="clear" w:color="auto" w:fill="FFFFFF"/>
        <w:spacing w:after="100" w:afterAutospacing="1" w:line="312" w:lineRule="atLeast"/>
        <w:outlineLvl w:val="1"/>
        <w:rPr>
          <w:rFonts w:ascii="Arial" w:eastAsia="Times New Roman" w:hAnsi="Arial" w:cs="Arial"/>
          <w:b/>
          <w:bCs/>
          <w:color w:val="1B1B1B"/>
          <w:kern w:val="0"/>
          <w:sz w:val="45"/>
          <w:szCs w:val="45"/>
          <w14:ligatures w14:val="none"/>
        </w:rPr>
      </w:pPr>
      <w:r w:rsidRPr="00E61A29">
        <w:rPr>
          <w:rFonts w:ascii="Arial" w:eastAsia="Times New Roman" w:hAnsi="Arial" w:cs="Arial"/>
          <w:b/>
          <w:bCs/>
          <w:color w:val="1B1B1B"/>
          <w:kern w:val="0"/>
          <w:sz w:val="45"/>
          <w:szCs w:val="45"/>
          <w14:ligatures w14:val="none"/>
        </w:rPr>
        <w:t>Chapter 1. Building the Project Foundation: Gaining Leadership Support Within the Organization</w:t>
      </w:r>
    </w:p>
    <w:p w14:paraId="5B8AA3A2"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An essential first step in implementing a successful medication reconciliation performance improvement project is to gain support within the organization. To be successful, you need the support of leadership, physicians, nurses, pharmacists, and other stakeholders that play a role in medication management practices.</w:t>
      </w:r>
    </w:p>
    <w:p w14:paraId="70B464F3"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This section presents talking points for making a sound argument for undertaking a medication reconciliation project. Making the connection to other ongoing patient safety initiatives, regulatory/accreditation requirements, and operational efficiencies are important elements that can help you obtain support. Talking points should address all or part of the following components:</w:t>
      </w:r>
    </w:p>
    <w:p w14:paraId="5391BC15" w14:textId="77777777" w:rsidR="00E61A29" w:rsidRPr="00E61A29" w:rsidRDefault="00E61A29" w:rsidP="00E61A29">
      <w:pPr>
        <w:numPr>
          <w:ilvl w:val="0"/>
          <w:numId w:val="3"/>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Medication reconciliation as a patient safety issue.</w:t>
      </w:r>
    </w:p>
    <w:p w14:paraId="18E94A92" w14:textId="77777777" w:rsidR="00E61A29" w:rsidRPr="00E61A29" w:rsidRDefault="00E61A29" w:rsidP="00E61A29">
      <w:pPr>
        <w:numPr>
          <w:ilvl w:val="0"/>
          <w:numId w:val="3"/>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Resource justification to produce a successful project.</w:t>
      </w:r>
    </w:p>
    <w:p w14:paraId="48DE8DD1" w14:textId="77777777" w:rsidR="00E61A29" w:rsidRPr="00E61A29" w:rsidRDefault="00E61A29" w:rsidP="00E61A29">
      <w:pPr>
        <w:numPr>
          <w:ilvl w:val="0"/>
          <w:numId w:val="3"/>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Linking medication reconciliation with other initiatives.</w:t>
      </w:r>
    </w:p>
    <w:p w14:paraId="1CF36F68" w14:textId="77777777" w:rsidR="00E61A29" w:rsidRPr="00E61A29" w:rsidRDefault="00E61A29" w:rsidP="00E61A29">
      <w:pPr>
        <w:shd w:val="clear" w:color="auto" w:fill="FFFFFF"/>
        <w:spacing w:after="100" w:afterAutospacing="1" w:line="312" w:lineRule="atLeast"/>
        <w:outlineLvl w:val="2"/>
        <w:rPr>
          <w:rFonts w:ascii="Arial" w:eastAsia="Times New Roman" w:hAnsi="Arial" w:cs="Arial"/>
          <w:b/>
          <w:bCs/>
          <w:color w:val="1B1B1B"/>
          <w:kern w:val="0"/>
          <w:sz w:val="36"/>
          <w:szCs w:val="36"/>
          <w14:ligatures w14:val="none"/>
        </w:rPr>
      </w:pPr>
      <w:r w:rsidRPr="00E61A29">
        <w:rPr>
          <w:rFonts w:ascii="Arial" w:eastAsia="Times New Roman" w:hAnsi="Arial" w:cs="Arial"/>
          <w:b/>
          <w:bCs/>
          <w:color w:val="1B1B1B"/>
          <w:kern w:val="0"/>
          <w:sz w:val="36"/>
          <w:szCs w:val="36"/>
          <w14:ligatures w14:val="none"/>
        </w:rPr>
        <w:t>Medication Reconciliation as a Patient Safety Issue</w:t>
      </w:r>
    </w:p>
    <w:p w14:paraId="4205B283"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lastRenderedPageBreak/>
        <w:t>A review of the literature notes several decades worth of articles describing medication discrepancies or lack of concordance, while few have addressed solutions to the problem. A publication in 2001 by Rozich and Resar quantified discrepancies during key transition points such as hospital admission, intra-hospital transfer, and discharge. Additional studies have validated vulnerabilities during these transition points:</w:t>
      </w:r>
    </w:p>
    <w:p w14:paraId="6F9E1B3C" w14:textId="77777777" w:rsidR="00E61A29" w:rsidRPr="00E61A29" w:rsidRDefault="00E61A29" w:rsidP="00E61A29">
      <w:pPr>
        <w:numPr>
          <w:ilvl w:val="0"/>
          <w:numId w:val="4"/>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Variances between medications patients were taking prior to admission and their admission orders ranged from 30 percent to 70 percent in two literature reviews.</w:t>
      </w:r>
      <w:r w:rsidRPr="00E61A29">
        <w:rPr>
          <w:rFonts w:ascii="Source Sans Pro" w:eastAsia="Times New Roman" w:hAnsi="Source Sans Pro" w:cs="Times New Roman"/>
          <w:color w:val="1B1B1B"/>
          <w:kern w:val="0"/>
          <w:sz w:val="19"/>
          <w:szCs w:val="19"/>
          <w:vertAlign w:val="superscript"/>
          <w14:ligatures w14:val="none"/>
        </w:rPr>
        <w:t>,</w:t>
      </w:r>
    </w:p>
    <w:p w14:paraId="1F87D039" w14:textId="77777777" w:rsidR="00E61A29" w:rsidRPr="00E61A29" w:rsidRDefault="00E61A29" w:rsidP="00E61A29">
      <w:pPr>
        <w:numPr>
          <w:ilvl w:val="0"/>
          <w:numId w:val="4"/>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A study of medication reconciliation errors and risk factors at hospital admission noted that 36 percent of patients had errors in their admission medication orders with the majority of these occurring during the medication history gathering phase.</w:t>
      </w:r>
    </w:p>
    <w:p w14:paraId="384BE51D" w14:textId="77777777" w:rsidR="00E61A29" w:rsidRPr="00E61A29" w:rsidRDefault="00E61A29" w:rsidP="00E61A29">
      <w:pPr>
        <w:numPr>
          <w:ilvl w:val="0"/>
          <w:numId w:val="4"/>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A study utilized 12 years of administrative records of all hospitalizations and outpatient prescriptions for almost 400,000 patients age 66 older to determine (1) continuous use of at least 1 of 5 medication classes and (2) failure to renew prescriptions within 90 days post-hospital discharge. Patients prescribed chronic medications were at higher risk for unintentional discontinuation following hospital discharge, and ICU stay during hospitalization increased the risk of medication discontinuation even further.</w:t>
      </w:r>
    </w:p>
    <w:p w14:paraId="52A14B2C"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Findings from these studies as well as many others reinforce the need for a structured process of comparison and resolution—such as medication reconciliation—to help ensure patient safety and medication continuity during care transitions.</w:t>
      </w:r>
    </w:p>
    <w:p w14:paraId="10CDB553" w14:textId="77777777" w:rsidR="00E61A29" w:rsidRPr="00E61A29" w:rsidRDefault="00E61A29" w:rsidP="00E61A29">
      <w:pPr>
        <w:shd w:val="clear" w:color="auto" w:fill="FFFFFF"/>
        <w:spacing w:after="100" w:afterAutospacing="1" w:line="312" w:lineRule="atLeast"/>
        <w:outlineLvl w:val="2"/>
        <w:rPr>
          <w:rFonts w:ascii="Arial" w:eastAsia="Times New Roman" w:hAnsi="Arial" w:cs="Arial"/>
          <w:b/>
          <w:bCs/>
          <w:color w:val="1B1B1B"/>
          <w:kern w:val="0"/>
          <w:sz w:val="36"/>
          <w:szCs w:val="36"/>
          <w14:ligatures w14:val="none"/>
        </w:rPr>
      </w:pPr>
      <w:r w:rsidRPr="00E61A29">
        <w:rPr>
          <w:rFonts w:ascii="Arial" w:eastAsia="Times New Roman" w:hAnsi="Arial" w:cs="Arial"/>
          <w:b/>
          <w:bCs/>
          <w:color w:val="1B1B1B"/>
          <w:kern w:val="0"/>
          <w:sz w:val="36"/>
          <w:szCs w:val="36"/>
          <w14:ligatures w14:val="none"/>
        </w:rPr>
        <w:t>Resource Justification to Produce a Successful Project</w:t>
      </w:r>
    </w:p>
    <w:p w14:paraId="3EB1D891"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Most health care facilities today are operating with limited resources, including financial and staffing limitations. A sound project plan helps to identify roles, responsibilities, and staff resources. A strong business case outlines the financial incentives for the facility.</w:t>
      </w:r>
    </w:p>
    <w:p w14:paraId="47CDFAFB"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 xml:space="preserve">Examples of two models to calculate potential gross savings of a newly designed or improved medication reconciliation process are provided. Specifically, the first model demonstrates a cost-benefit analysis of reducing preventable adverse drug events </w:t>
      </w:r>
      <w:r w:rsidRPr="00E61A29">
        <w:rPr>
          <w:rFonts w:ascii="Source Sans Pro" w:eastAsia="Times New Roman" w:hAnsi="Source Sans Pro" w:cs="Times New Roman"/>
          <w:color w:val="1B1B1B"/>
          <w:kern w:val="0"/>
          <w:sz w:val="26"/>
          <w:szCs w:val="26"/>
          <w14:ligatures w14:val="none"/>
        </w:rPr>
        <w:lastRenderedPageBreak/>
        <w:t>(ADEs); the second model demonstrates a cost-benefit analysis of the use of pharmacists or other staff to perform medication reconciliation.</w:t>
      </w:r>
    </w:p>
    <w:p w14:paraId="442253E3"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The first is a financial model developed by Steven B. Meisel, PharmD, Director of Medication Safety at Fairview Health Services in Minneapolis, Minnesota. This example is also contained on the MATCH Web site and reproduced with permission in this toolkit.</w:t>
      </w:r>
    </w:p>
    <w:p w14:paraId="73F90A19"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Published data from the Institute of Medicine and others demonstrate discrepancies in medication regimens among people admitted to health care facilities, and some of those discrepancies will lead to an ADE that could seriously harm a patient. The estimated cost of a preventable ADE was $4,800 per event, based on a 1997 study done by Bates et al. Some organizations have calculated an ADE cost as high as $10,375. Dr. Meisel's internal data show that an effective medication reconciliation process can detect and avert up to 85 percent of medication discrepancies. Conducting effective medication reconciliation on admission is estimated to take 15 to 30 minutes. With these assumptions in mind, Meisel outlines the following calculations:</w:t>
      </w:r>
    </w:p>
    <w:p w14:paraId="34054ABB" w14:textId="77777777" w:rsidR="00E61A29" w:rsidRPr="00E61A29" w:rsidRDefault="00E61A29" w:rsidP="00E61A29">
      <w:pPr>
        <w:shd w:val="clear" w:color="auto" w:fill="FFFFFF"/>
        <w:spacing w:after="100" w:afterAutospacing="1" w:line="312" w:lineRule="atLeast"/>
        <w:outlineLvl w:val="2"/>
        <w:rPr>
          <w:rFonts w:ascii="Arial" w:eastAsia="Times New Roman" w:hAnsi="Arial" w:cs="Arial"/>
          <w:b/>
          <w:bCs/>
          <w:color w:val="1B1B1B"/>
          <w:kern w:val="0"/>
          <w:sz w:val="36"/>
          <w:szCs w:val="36"/>
          <w14:ligatures w14:val="none"/>
        </w:rPr>
      </w:pPr>
      <w:r w:rsidRPr="00E61A29">
        <w:rPr>
          <w:rFonts w:ascii="Arial" w:eastAsia="Times New Roman" w:hAnsi="Arial" w:cs="Arial"/>
          <w:b/>
          <w:bCs/>
          <w:color w:val="1B1B1B"/>
          <w:kern w:val="0"/>
          <w:sz w:val="36"/>
          <w:szCs w:val="36"/>
          <w14:ligatures w14:val="none"/>
        </w:rPr>
        <w:t>Model 1: Financial Model for Medication Reconciliation</w:t>
      </w:r>
    </w:p>
    <w:tbl>
      <w:tblPr>
        <w:tblW w:w="10940" w:type="dxa"/>
        <w:tblCellMar>
          <w:top w:w="80" w:type="dxa"/>
          <w:left w:w="80" w:type="dxa"/>
          <w:bottom w:w="80" w:type="dxa"/>
          <w:right w:w="80" w:type="dxa"/>
        </w:tblCellMar>
        <w:tblLook w:val="04A0" w:firstRow="1" w:lastRow="0" w:firstColumn="1" w:lastColumn="0" w:noHBand="0" w:noVBand="1"/>
        <w:tblDescription w:val="layout"/>
      </w:tblPr>
      <w:tblGrid>
        <w:gridCol w:w="10940"/>
      </w:tblGrid>
      <w:tr w:rsidR="00E61A29" w:rsidRPr="00E61A29" w14:paraId="008D531B" w14:textId="77777777">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4A10C61E" w14:textId="77777777" w:rsidR="00E61A29" w:rsidRPr="00E61A29" w:rsidRDefault="00E61A29" w:rsidP="00E61A29">
            <w:pPr>
              <w:spacing w:before="150" w:after="450" w:line="240" w:lineRule="auto"/>
              <w:rPr>
                <w:rFonts w:ascii="Times New Roman" w:eastAsia="Times New Roman" w:hAnsi="Times New Roman" w:cs="Times New Roman"/>
                <w:kern w:val="0"/>
                <w14:ligatures w14:val="none"/>
              </w:rPr>
            </w:pPr>
            <w:r w:rsidRPr="00E61A29">
              <w:rPr>
                <w:rFonts w:ascii="Times New Roman" w:eastAsia="Times New Roman" w:hAnsi="Times New Roman" w:cs="Times New Roman"/>
                <w:kern w:val="0"/>
                <w14:ligatures w14:val="none"/>
              </w:rPr>
              <w:t>        Number of discrepancies per patient</w:t>
            </w:r>
            <w:r w:rsidRPr="00E61A29">
              <w:rPr>
                <w:rFonts w:ascii="Times New Roman" w:eastAsia="Times New Roman" w:hAnsi="Times New Roman" w:cs="Times New Roman"/>
                <w:kern w:val="0"/>
                <w14:ligatures w14:val="none"/>
              </w:rPr>
              <w:br/>
              <w:t>X     Number of patients per year that one person can reconcile</w:t>
            </w:r>
            <w:r w:rsidRPr="00E61A29">
              <w:rPr>
                <w:rFonts w:ascii="Times New Roman" w:eastAsia="Times New Roman" w:hAnsi="Times New Roman" w:cs="Times New Roman"/>
                <w:kern w:val="0"/>
                <w14:ligatures w14:val="none"/>
              </w:rPr>
              <w:br/>
              <w:t>X     Percent of patients with discrepancies that would result in an ADE</w:t>
            </w:r>
            <w:r w:rsidRPr="00E61A29">
              <w:rPr>
                <w:rFonts w:ascii="Times New Roman" w:eastAsia="Times New Roman" w:hAnsi="Times New Roman" w:cs="Times New Roman"/>
                <w:kern w:val="0"/>
                <w14:ligatures w14:val="none"/>
              </w:rPr>
              <w:br/>
              <w:t>X     Percent effectiveness of process</w:t>
            </w:r>
            <w:r w:rsidRPr="00E61A29">
              <w:rPr>
                <w:rFonts w:ascii="Times New Roman" w:eastAsia="Times New Roman" w:hAnsi="Times New Roman" w:cs="Times New Roman"/>
                <w:kern w:val="0"/>
                <w14:ligatures w14:val="none"/>
              </w:rPr>
              <w:br/>
              <w:t>X     Cost of an average ADE</w:t>
            </w:r>
            <w:r w:rsidRPr="00E61A29">
              <w:rPr>
                <w:rFonts w:ascii="Times New Roman" w:eastAsia="Times New Roman" w:hAnsi="Times New Roman" w:cs="Times New Roman"/>
                <w:kern w:val="0"/>
                <w14:ligatures w14:val="none"/>
              </w:rPr>
              <w:br/>
              <w:t>=     Annual gross cost savings</w:t>
            </w:r>
            <w:r w:rsidRPr="00E61A29">
              <w:rPr>
                <w:rFonts w:ascii="Times New Roman" w:eastAsia="Times New Roman" w:hAnsi="Times New Roman" w:cs="Times New Roman"/>
                <w:kern w:val="0"/>
                <w14:ligatures w14:val="none"/>
              </w:rPr>
              <w:br/>
              <w:t>-     Salary of Employee</w:t>
            </w:r>
            <w:r w:rsidRPr="00E61A29">
              <w:rPr>
                <w:rFonts w:ascii="Times New Roman" w:eastAsia="Times New Roman" w:hAnsi="Times New Roman" w:cs="Times New Roman"/>
                <w:kern w:val="0"/>
                <w14:ligatures w14:val="none"/>
              </w:rPr>
              <w:br/>
              <w:t>=     Annual Net Savings</w:t>
            </w:r>
          </w:p>
        </w:tc>
      </w:tr>
    </w:tbl>
    <w:p w14:paraId="48B9DCFE"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b/>
          <w:bCs/>
          <w:color w:val="1B1B1B"/>
          <w:kern w:val="0"/>
          <w:sz w:val="26"/>
          <w:szCs w:val="26"/>
          <w14:ligatures w14:val="none"/>
        </w:rPr>
        <w:t>Source:</w:t>
      </w:r>
      <w:r w:rsidRPr="00E61A29">
        <w:rPr>
          <w:rFonts w:ascii="Source Sans Pro" w:eastAsia="Times New Roman" w:hAnsi="Source Sans Pro" w:cs="Times New Roman"/>
          <w:color w:val="1B1B1B"/>
          <w:kern w:val="0"/>
          <w:sz w:val="26"/>
          <w:szCs w:val="26"/>
          <w14:ligatures w14:val="none"/>
        </w:rPr>
        <w:t> Presented by Steven B. Meisel, PharmD, at the Joint Commission/Institute for Safe Medication Practices Medication Reconciliation Conference, Nov. 14, 2005.</w:t>
      </w:r>
    </w:p>
    <w:p w14:paraId="1D5FE03B"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To calculate the net cost savings, subtract the cost of the anticipated resource investment (staff, equipment, IT) from the gross cost savings. Net savings will vary depending on the type of staff designated to perform medication reconciliation (nurse, pharmacist, pharmacy technician, or physician), as shown in </w:t>
      </w:r>
      <w:hyperlink r:id="rId10" w:history="1">
        <w:r w:rsidRPr="00E61A29">
          <w:rPr>
            <w:rFonts w:ascii="Source Sans Pro" w:eastAsia="Times New Roman" w:hAnsi="Source Sans Pro" w:cs="Times New Roman"/>
            <w:color w:val="005B94"/>
            <w:kern w:val="0"/>
            <w:sz w:val="26"/>
            <w:szCs w:val="26"/>
            <w:u w:val="single"/>
            <w14:ligatures w14:val="none"/>
          </w:rPr>
          <w:t>Table 1</w:t>
        </w:r>
      </w:hyperlink>
      <w:r w:rsidRPr="00E61A29">
        <w:rPr>
          <w:rFonts w:ascii="Source Sans Pro" w:eastAsia="Times New Roman" w:hAnsi="Source Sans Pro" w:cs="Times New Roman"/>
          <w:color w:val="1B1B1B"/>
          <w:kern w:val="0"/>
          <w:sz w:val="26"/>
          <w:szCs w:val="26"/>
          <w14:ligatures w14:val="none"/>
        </w:rPr>
        <w:t>.</w:t>
      </w:r>
    </w:p>
    <w:p w14:paraId="022A0237" w14:textId="77777777" w:rsidR="00E61A29" w:rsidRPr="00E61A29" w:rsidRDefault="00E61A29" w:rsidP="00E61A29">
      <w:pPr>
        <w:shd w:val="clear" w:color="auto" w:fill="FFFFFF"/>
        <w:spacing w:after="100" w:afterAutospacing="1" w:line="312" w:lineRule="atLeast"/>
        <w:outlineLvl w:val="2"/>
        <w:rPr>
          <w:rFonts w:ascii="Arial" w:eastAsia="Times New Roman" w:hAnsi="Arial" w:cs="Arial"/>
          <w:b/>
          <w:bCs/>
          <w:color w:val="1B1B1B"/>
          <w:kern w:val="0"/>
          <w:sz w:val="36"/>
          <w:szCs w:val="36"/>
          <w14:ligatures w14:val="none"/>
        </w:rPr>
      </w:pPr>
      <w:r w:rsidRPr="00E61A29">
        <w:rPr>
          <w:rFonts w:ascii="Arial" w:eastAsia="Times New Roman" w:hAnsi="Arial" w:cs="Arial"/>
          <w:b/>
          <w:bCs/>
          <w:color w:val="1B1B1B"/>
          <w:kern w:val="0"/>
          <w:sz w:val="36"/>
          <w:szCs w:val="36"/>
          <w14:ligatures w14:val="none"/>
        </w:rPr>
        <w:lastRenderedPageBreak/>
        <w:t>Table 1: Net Savings for Medication Reconciliation</w:t>
      </w:r>
    </w:p>
    <w:tbl>
      <w:tblPr>
        <w:tblW w:w="10940" w:type="dxa"/>
        <w:tblCellMar>
          <w:top w:w="80" w:type="dxa"/>
          <w:left w:w="80" w:type="dxa"/>
          <w:bottom w:w="80" w:type="dxa"/>
          <w:right w:w="80" w:type="dxa"/>
        </w:tblCellMar>
        <w:tblLook w:val="04A0" w:firstRow="1" w:lastRow="0" w:firstColumn="1" w:lastColumn="0" w:noHBand="0" w:noVBand="1"/>
        <w:tblDescription w:val="layout"/>
      </w:tblPr>
      <w:tblGrid>
        <w:gridCol w:w="10940"/>
      </w:tblGrid>
      <w:tr w:rsidR="00E61A29" w:rsidRPr="00E61A29" w14:paraId="438DA6D0" w14:textId="77777777">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20A3B619" w14:textId="77777777" w:rsidR="00E61A29" w:rsidRPr="00E61A29" w:rsidRDefault="00E61A29" w:rsidP="00E61A29">
            <w:pPr>
              <w:spacing w:before="150" w:after="450" w:line="240" w:lineRule="auto"/>
              <w:rPr>
                <w:rFonts w:ascii="Times New Roman" w:eastAsia="Times New Roman" w:hAnsi="Times New Roman" w:cs="Times New Roman"/>
                <w:kern w:val="0"/>
                <w14:ligatures w14:val="none"/>
              </w:rPr>
            </w:pPr>
            <w:r w:rsidRPr="00E61A29">
              <w:rPr>
                <w:rFonts w:ascii="Times New Roman" w:eastAsia="Times New Roman" w:hAnsi="Times New Roman" w:cs="Times New Roman"/>
                <w:kern w:val="0"/>
                <w14:ligatures w14:val="none"/>
              </w:rPr>
              <w:t>        1.5 (discrepancies per patient admitted to Fairview)</w:t>
            </w:r>
            <w:r w:rsidRPr="00E61A29">
              <w:rPr>
                <w:rFonts w:ascii="Times New Roman" w:eastAsia="Times New Roman" w:hAnsi="Times New Roman" w:cs="Times New Roman"/>
                <w:kern w:val="0"/>
                <w14:ligatures w14:val="none"/>
              </w:rPr>
              <w:br/>
              <w:t>X     6000 patients (average of 20 minutes/patient to complete medication reconciliation)</w:t>
            </w:r>
            <w:r w:rsidRPr="00E61A29">
              <w:rPr>
                <w:rFonts w:ascii="Times New Roman" w:eastAsia="Times New Roman" w:hAnsi="Times New Roman" w:cs="Times New Roman"/>
                <w:kern w:val="0"/>
                <w14:ligatures w14:val="none"/>
              </w:rPr>
              <w:br/>
              <w:t>X     0.01 (1% of Fairview admissions experience discrepancies that would result in an ADE)</w:t>
            </w:r>
            <w:r w:rsidRPr="00E61A29">
              <w:rPr>
                <w:rFonts w:ascii="Times New Roman" w:eastAsia="Times New Roman" w:hAnsi="Times New Roman" w:cs="Times New Roman"/>
                <w:kern w:val="0"/>
                <w14:ligatures w14:val="none"/>
              </w:rPr>
              <w:br/>
              <w:t>X     0.85 (85% of discrepancies avoided through medication reconciliation process)</w:t>
            </w:r>
            <w:r w:rsidRPr="00E61A29">
              <w:rPr>
                <w:rFonts w:ascii="Times New Roman" w:eastAsia="Times New Roman" w:hAnsi="Times New Roman" w:cs="Times New Roman"/>
                <w:kern w:val="0"/>
                <w14:ligatures w14:val="none"/>
              </w:rPr>
              <w:br/>
              <w:t>X     $2500 (conservative cost of an ADE)</w:t>
            </w:r>
            <w:r w:rsidRPr="00E61A29">
              <w:rPr>
                <w:rFonts w:ascii="Times New Roman" w:eastAsia="Times New Roman" w:hAnsi="Times New Roman" w:cs="Times New Roman"/>
                <w:kern w:val="0"/>
                <w14:ligatures w14:val="none"/>
              </w:rPr>
              <w:br/>
              <w:t>=     $191,250 annual gross savings</w:t>
            </w:r>
            <w:r w:rsidRPr="00E61A29">
              <w:rPr>
                <w:rFonts w:ascii="Times New Roman" w:eastAsia="Times New Roman" w:hAnsi="Times New Roman" w:cs="Times New Roman"/>
                <w:kern w:val="0"/>
                <w14:ligatures w14:val="none"/>
              </w:rPr>
              <w:br/>
              <w:t>-     $45,000 (salary and benefits of an incremental pharmacy technician)</w:t>
            </w:r>
            <w:r w:rsidRPr="00E61A29">
              <w:rPr>
                <w:rFonts w:ascii="Times New Roman" w:eastAsia="Times New Roman" w:hAnsi="Times New Roman" w:cs="Times New Roman"/>
                <w:kern w:val="0"/>
                <w14:ligatures w14:val="none"/>
              </w:rPr>
              <w:br/>
              <w:t>=     $146,250 annual net savings (325% return on investment in a new staff member)</w:t>
            </w:r>
          </w:p>
        </w:tc>
      </w:tr>
    </w:tbl>
    <w:p w14:paraId="2C456037"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The second model, developed by Steve Rough, M.S., R.P.H., Director of Pharmacy at the University of Wisconsin Hospital and Clinics, includes a template for pharmacist justification to collect and reconcile medication history on admission to a facility. </w:t>
      </w:r>
      <w:hyperlink r:id="rId11" w:history="1">
        <w:r w:rsidRPr="00E61A29">
          <w:rPr>
            <w:rFonts w:ascii="Source Sans Pro" w:eastAsia="Times New Roman" w:hAnsi="Source Sans Pro" w:cs="Times New Roman"/>
            <w:color w:val="005B94"/>
            <w:kern w:val="0"/>
            <w:sz w:val="26"/>
            <w:szCs w:val="26"/>
            <w:u w:val="single"/>
            <w14:ligatures w14:val="none"/>
          </w:rPr>
          <w:t>Table 2</w:t>
        </w:r>
      </w:hyperlink>
      <w:r w:rsidRPr="00E61A29">
        <w:rPr>
          <w:rFonts w:ascii="Source Sans Pro" w:eastAsia="Times New Roman" w:hAnsi="Source Sans Pro" w:cs="Times New Roman"/>
          <w:color w:val="1B1B1B"/>
          <w:kern w:val="0"/>
          <w:sz w:val="26"/>
          <w:szCs w:val="26"/>
          <w14:ligatures w14:val="none"/>
        </w:rPr>
        <w:t> indicates average time requirements for pharmacists performing various levels of interaction with patients, records, and interventions.</w:t>
      </w:r>
    </w:p>
    <w:p w14:paraId="7C88F1F9"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Below is an adaptation of the template based on sample data collection at Northwestern Memorial Hospital.</w:t>
      </w:r>
    </w:p>
    <w:p w14:paraId="2CB7CF0D" w14:textId="77777777" w:rsidR="00E61A29" w:rsidRPr="00E61A29" w:rsidRDefault="00E61A29" w:rsidP="00E61A29">
      <w:pPr>
        <w:shd w:val="clear" w:color="auto" w:fill="FFFFFF"/>
        <w:spacing w:after="100" w:afterAutospacing="1" w:line="312" w:lineRule="atLeast"/>
        <w:outlineLvl w:val="2"/>
        <w:rPr>
          <w:rFonts w:ascii="Arial" w:eastAsia="Times New Roman" w:hAnsi="Arial" w:cs="Arial"/>
          <w:b/>
          <w:bCs/>
          <w:color w:val="1B1B1B"/>
          <w:kern w:val="0"/>
          <w:sz w:val="36"/>
          <w:szCs w:val="36"/>
          <w14:ligatures w14:val="none"/>
        </w:rPr>
      </w:pPr>
      <w:r w:rsidRPr="00E61A29">
        <w:rPr>
          <w:rFonts w:ascii="Arial" w:eastAsia="Times New Roman" w:hAnsi="Arial" w:cs="Arial"/>
          <w:b/>
          <w:bCs/>
          <w:color w:val="1B1B1B"/>
          <w:kern w:val="0"/>
          <w:sz w:val="36"/>
          <w:szCs w:val="36"/>
          <w14:ligatures w14:val="none"/>
        </w:rPr>
        <w:t>Model 2: Pharmacist Justification for Medication History Collection and Reconciliation on Admission</w:t>
      </w:r>
    </w:p>
    <w:tbl>
      <w:tblPr>
        <w:tblW w:w="10940" w:type="dxa"/>
        <w:tblCellMar>
          <w:top w:w="80" w:type="dxa"/>
          <w:left w:w="80" w:type="dxa"/>
          <w:bottom w:w="80" w:type="dxa"/>
          <w:right w:w="80" w:type="dxa"/>
        </w:tblCellMar>
        <w:tblLook w:val="04A0" w:firstRow="1" w:lastRow="0" w:firstColumn="1" w:lastColumn="0" w:noHBand="0" w:noVBand="1"/>
      </w:tblPr>
      <w:tblGrid>
        <w:gridCol w:w="8585"/>
        <w:gridCol w:w="2355"/>
      </w:tblGrid>
      <w:tr w:rsidR="00E61A29" w:rsidRPr="00E61A29" w14:paraId="761A805C" w14:textId="77777777">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228EE749" w14:textId="77777777" w:rsidR="00E61A29" w:rsidRPr="00E61A29" w:rsidRDefault="00E61A29" w:rsidP="00E61A29">
            <w:pPr>
              <w:spacing w:before="150" w:after="450" w:line="240" w:lineRule="auto"/>
              <w:rPr>
                <w:rFonts w:ascii="Times New Roman" w:eastAsia="Times New Roman" w:hAnsi="Times New Roman" w:cs="Times New Roman"/>
                <w:kern w:val="0"/>
                <w14:ligatures w14:val="none"/>
              </w:rPr>
            </w:pPr>
            <w:r w:rsidRPr="00E61A29">
              <w:rPr>
                <w:rFonts w:ascii="Times New Roman" w:eastAsia="Times New Roman" w:hAnsi="Times New Roman" w:cs="Times New Roman"/>
                <w:kern w:val="0"/>
                <w14:ligatures w14:val="none"/>
              </w:rPr>
              <w:t>Average # of discrepancies/medication errors per patient</w:t>
            </w:r>
          </w:p>
        </w:tc>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5F4BB2E2" w14:textId="77777777" w:rsidR="00E61A29" w:rsidRPr="00E61A29" w:rsidRDefault="00E61A29" w:rsidP="00E61A29">
            <w:pPr>
              <w:spacing w:before="150" w:after="450" w:line="240" w:lineRule="auto"/>
              <w:rPr>
                <w:rFonts w:ascii="Times New Roman" w:eastAsia="Times New Roman" w:hAnsi="Times New Roman" w:cs="Times New Roman"/>
                <w:kern w:val="0"/>
                <w14:ligatures w14:val="none"/>
              </w:rPr>
            </w:pPr>
            <w:r w:rsidRPr="00E61A29">
              <w:rPr>
                <w:rFonts w:ascii="Times New Roman" w:eastAsia="Times New Roman" w:hAnsi="Times New Roman" w:cs="Times New Roman"/>
                <w:kern w:val="0"/>
                <w14:ligatures w14:val="none"/>
              </w:rPr>
              <w:t>2.2</w:t>
            </w:r>
          </w:p>
        </w:tc>
      </w:tr>
      <w:tr w:rsidR="00E61A29" w:rsidRPr="00E61A29" w14:paraId="01DF9FB6" w14:textId="77777777">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71BB37B7" w14:textId="77777777" w:rsidR="00E61A29" w:rsidRPr="00E61A29" w:rsidRDefault="00E61A29" w:rsidP="00E61A29">
            <w:pPr>
              <w:spacing w:before="150" w:after="450" w:line="240" w:lineRule="auto"/>
              <w:rPr>
                <w:rFonts w:ascii="Times New Roman" w:eastAsia="Times New Roman" w:hAnsi="Times New Roman" w:cs="Times New Roman"/>
                <w:kern w:val="0"/>
                <w14:ligatures w14:val="none"/>
              </w:rPr>
            </w:pPr>
            <w:r w:rsidRPr="00E61A29">
              <w:rPr>
                <w:rFonts w:ascii="Times New Roman" w:eastAsia="Times New Roman" w:hAnsi="Times New Roman" w:cs="Times New Roman"/>
                <w:kern w:val="0"/>
                <w14:ligatures w14:val="none"/>
              </w:rPr>
              <w:t>Number of inpatient admissions per year</w:t>
            </w:r>
          </w:p>
        </w:tc>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36554FB5" w14:textId="77777777" w:rsidR="00E61A29" w:rsidRPr="00E61A29" w:rsidRDefault="00E61A29" w:rsidP="00E61A29">
            <w:pPr>
              <w:spacing w:before="150" w:after="450" w:line="240" w:lineRule="auto"/>
              <w:rPr>
                <w:rFonts w:ascii="Times New Roman" w:eastAsia="Times New Roman" w:hAnsi="Times New Roman" w:cs="Times New Roman"/>
                <w:kern w:val="0"/>
                <w14:ligatures w14:val="none"/>
              </w:rPr>
            </w:pPr>
            <w:r w:rsidRPr="00E61A29">
              <w:rPr>
                <w:rFonts w:ascii="Times New Roman" w:eastAsia="Times New Roman" w:hAnsi="Times New Roman" w:cs="Times New Roman"/>
                <w:kern w:val="0"/>
                <w14:ligatures w14:val="none"/>
              </w:rPr>
              <w:t>43,312 (2006)</w:t>
            </w:r>
          </w:p>
        </w:tc>
      </w:tr>
      <w:tr w:rsidR="00E61A29" w:rsidRPr="00E61A29" w14:paraId="48648EB2" w14:textId="77777777">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7AFEAB22" w14:textId="77777777" w:rsidR="00E61A29" w:rsidRPr="00E61A29" w:rsidRDefault="00E61A29" w:rsidP="00E61A29">
            <w:pPr>
              <w:spacing w:before="150" w:after="450" w:line="240" w:lineRule="auto"/>
              <w:rPr>
                <w:rFonts w:ascii="Times New Roman" w:eastAsia="Times New Roman" w:hAnsi="Times New Roman" w:cs="Times New Roman"/>
                <w:kern w:val="0"/>
                <w14:ligatures w14:val="none"/>
              </w:rPr>
            </w:pPr>
            <w:r w:rsidRPr="00E61A29">
              <w:rPr>
                <w:rFonts w:ascii="Times New Roman" w:eastAsia="Times New Roman" w:hAnsi="Times New Roman" w:cs="Times New Roman"/>
                <w:kern w:val="0"/>
                <w14:ligatures w14:val="none"/>
              </w:rPr>
              <w:t>Potential medication errors per year that can be avoided</w:t>
            </w:r>
          </w:p>
        </w:tc>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16F82307" w14:textId="77777777" w:rsidR="00E61A29" w:rsidRPr="00E61A29" w:rsidRDefault="00E61A29" w:rsidP="00E61A29">
            <w:pPr>
              <w:spacing w:before="150" w:after="450" w:line="240" w:lineRule="auto"/>
              <w:rPr>
                <w:rFonts w:ascii="Times New Roman" w:eastAsia="Times New Roman" w:hAnsi="Times New Roman" w:cs="Times New Roman"/>
                <w:kern w:val="0"/>
                <w14:ligatures w14:val="none"/>
              </w:rPr>
            </w:pPr>
            <w:r w:rsidRPr="00E61A29">
              <w:rPr>
                <w:rFonts w:ascii="Times New Roman" w:eastAsia="Times New Roman" w:hAnsi="Times New Roman" w:cs="Times New Roman"/>
                <w:kern w:val="0"/>
                <w14:ligatures w14:val="none"/>
              </w:rPr>
              <w:t>95,286 (2.2 x 43,312)</w:t>
            </w:r>
          </w:p>
        </w:tc>
      </w:tr>
      <w:tr w:rsidR="00E61A29" w:rsidRPr="00E61A29" w14:paraId="247176C6" w14:textId="77777777">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54C3239F" w14:textId="77777777" w:rsidR="00E61A29" w:rsidRPr="00E61A29" w:rsidRDefault="00E61A29" w:rsidP="00E61A29">
            <w:pPr>
              <w:spacing w:before="150" w:after="450" w:line="240" w:lineRule="auto"/>
              <w:rPr>
                <w:rFonts w:ascii="Times New Roman" w:eastAsia="Times New Roman" w:hAnsi="Times New Roman" w:cs="Times New Roman"/>
                <w:kern w:val="0"/>
                <w14:ligatures w14:val="none"/>
              </w:rPr>
            </w:pPr>
            <w:r w:rsidRPr="00E61A29">
              <w:rPr>
                <w:rFonts w:ascii="Times New Roman" w:eastAsia="Times New Roman" w:hAnsi="Times New Roman" w:cs="Times New Roman"/>
                <w:kern w:val="0"/>
                <w14:ligatures w14:val="none"/>
              </w:rPr>
              <w:t>Percent of medications that were potentially harmful to patient during hospitalization</w:t>
            </w:r>
            <w:hyperlink r:id="rId12" w:anchor="ast" w:history="1">
              <w:r w:rsidRPr="00E61A29">
                <w:rPr>
                  <w:rFonts w:ascii="Times New Roman" w:eastAsia="Times New Roman" w:hAnsi="Times New Roman" w:cs="Times New Roman"/>
                  <w:color w:val="005B94"/>
                  <w:kern w:val="0"/>
                  <w:u w:val="single"/>
                  <w14:ligatures w14:val="none"/>
                </w:rPr>
                <w:t>*</w:t>
              </w:r>
            </w:hyperlink>
          </w:p>
        </w:tc>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5D3A663F" w14:textId="77777777" w:rsidR="00E61A29" w:rsidRPr="00E61A29" w:rsidRDefault="00E61A29" w:rsidP="00E61A29">
            <w:pPr>
              <w:spacing w:before="150" w:after="450" w:line="240" w:lineRule="auto"/>
              <w:rPr>
                <w:rFonts w:ascii="Times New Roman" w:eastAsia="Times New Roman" w:hAnsi="Times New Roman" w:cs="Times New Roman"/>
                <w:kern w:val="0"/>
                <w14:ligatures w14:val="none"/>
              </w:rPr>
            </w:pPr>
            <w:r w:rsidRPr="00E61A29">
              <w:rPr>
                <w:rFonts w:ascii="Times New Roman" w:eastAsia="Times New Roman" w:hAnsi="Times New Roman" w:cs="Times New Roman"/>
                <w:kern w:val="0"/>
                <w14:ligatures w14:val="none"/>
              </w:rPr>
              <w:t>2.5%</w:t>
            </w:r>
          </w:p>
        </w:tc>
      </w:tr>
      <w:tr w:rsidR="00E61A29" w:rsidRPr="00E61A29" w14:paraId="1D8CE88B" w14:textId="77777777">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2FE65562" w14:textId="77777777" w:rsidR="00E61A29" w:rsidRPr="00E61A29" w:rsidRDefault="00E61A29" w:rsidP="00E61A29">
            <w:pPr>
              <w:spacing w:before="150" w:after="450" w:line="240" w:lineRule="auto"/>
              <w:rPr>
                <w:rFonts w:ascii="Times New Roman" w:eastAsia="Times New Roman" w:hAnsi="Times New Roman" w:cs="Times New Roman"/>
                <w:kern w:val="0"/>
                <w14:ligatures w14:val="none"/>
              </w:rPr>
            </w:pPr>
            <w:r w:rsidRPr="00E61A29">
              <w:rPr>
                <w:rFonts w:ascii="Times New Roman" w:eastAsia="Times New Roman" w:hAnsi="Times New Roman" w:cs="Times New Roman"/>
                <w:kern w:val="0"/>
                <w14:ligatures w14:val="none"/>
              </w:rPr>
              <w:t>Number of harmful medication errors avoided per year</w:t>
            </w:r>
          </w:p>
        </w:tc>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32666712" w14:textId="77777777" w:rsidR="00E61A29" w:rsidRPr="00E61A29" w:rsidRDefault="00E61A29" w:rsidP="00E61A29">
            <w:pPr>
              <w:spacing w:before="150" w:after="450" w:line="240" w:lineRule="auto"/>
              <w:rPr>
                <w:rFonts w:ascii="Times New Roman" w:eastAsia="Times New Roman" w:hAnsi="Times New Roman" w:cs="Times New Roman"/>
                <w:kern w:val="0"/>
                <w14:ligatures w14:val="none"/>
              </w:rPr>
            </w:pPr>
            <w:r w:rsidRPr="00E61A29">
              <w:rPr>
                <w:rFonts w:ascii="Times New Roman" w:eastAsia="Times New Roman" w:hAnsi="Times New Roman" w:cs="Times New Roman"/>
                <w:kern w:val="0"/>
                <w14:ligatures w14:val="none"/>
              </w:rPr>
              <w:t>2,382</w:t>
            </w:r>
          </w:p>
        </w:tc>
      </w:tr>
      <w:tr w:rsidR="00E61A29" w:rsidRPr="00E61A29" w14:paraId="6F1ED058" w14:textId="77777777">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41C1EF84" w14:textId="77777777" w:rsidR="00E61A29" w:rsidRPr="00E61A29" w:rsidRDefault="00E61A29" w:rsidP="00E61A29">
            <w:pPr>
              <w:spacing w:before="150" w:after="450" w:line="240" w:lineRule="auto"/>
              <w:rPr>
                <w:rFonts w:ascii="Times New Roman" w:eastAsia="Times New Roman" w:hAnsi="Times New Roman" w:cs="Times New Roman"/>
                <w:kern w:val="0"/>
                <w14:ligatures w14:val="none"/>
              </w:rPr>
            </w:pPr>
            <w:r w:rsidRPr="00E61A29">
              <w:rPr>
                <w:rFonts w:ascii="Times New Roman" w:eastAsia="Times New Roman" w:hAnsi="Times New Roman" w:cs="Times New Roman"/>
                <w:kern w:val="0"/>
                <w14:ligatures w14:val="none"/>
              </w:rPr>
              <w:lastRenderedPageBreak/>
              <w:t>Annual gross savings to hospital ($4,800 per harmful error)</w:t>
            </w:r>
            <w:hyperlink r:id="rId13" w:anchor="ast" w:history="1">
              <w:r w:rsidRPr="00E61A29">
                <w:rPr>
                  <w:rFonts w:ascii="Times New Roman" w:eastAsia="Times New Roman" w:hAnsi="Times New Roman" w:cs="Times New Roman"/>
                  <w:color w:val="005B94"/>
                  <w:kern w:val="0"/>
                  <w:u w:val="single"/>
                  <w14:ligatures w14:val="none"/>
                </w:rPr>
                <w:t>*</w:t>
              </w:r>
            </w:hyperlink>
          </w:p>
        </w:tc>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480E7EAF" w14:textId="77777777" w:rsidR="00E61A29" w:rsidRPr="00E61A29" w:rsidRDefault="00E61A29" w:rsidP="00E61A29">
            <w:pPr>
              <w:spacing w:before="150" w:after="450" w:line="240" w:lineRule="auto"/>
              <w:rPr>
                <w:rFonts w:ascii="Times New Roman" w:eastAsia="Times New Roman" w:hAnsi="Times New Roman" w:cs="Times New Roman"/>
                <w:kern w:val="0"/>
                <w14:ligatures w14:val="none"/>
              </w:rPr>
            </w:pPr>
            <w:r w:rsidRPr="00E61A29">
              <w:rPr>
                <w:rFonts w:ascii="Times New Roman" w:eastAsia="Times New Roman" w:hAnsi="Times New Roman" w:cs="Times New Roman"/>
                <w:kern w:val="0"/>
                <w14:ligatures w14:val="none"/>
              </w:rPr>
              <w:t>$11,434,320</w:t>
            </w:r>
          </w:p>
        </w:tc>
      </w:tr>
      <w:tr w:rsidR="00E61A29" w:rsidRPr="00E61A29" w14:paraId="36F14202" w14:textId="77777777">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0C2BB8D5" w14:textId="77777777" w:rsidR="00E61A29" w:rsidRPr="00E61A29" w:rsidRDefault="00E61A29" w:rsidP="00E61A29">
            <w:pPr>
              <w:spacing w:before="150" w:after="450" w:line="240" w:lineRule="auto"/>
              <w:rPr>
                <w:rFonts w:ascii="Times New Roman" w:eastAsia="Times New Roman" w:hAnsi="Times New Roman" w:cs="Times New Roman"/>
                <w:kern w:val="0"/>
                <w14:ligatures w14:val="none"/>
              </w:rPr>
            </w:pPr>
            <w:r w:rsidRPr="00E61A29">
              <w:rPr>
                <w:rFonts w:ascii="Times New Roman" w:eastAsia="Times New Roman" w:hAnsi="Times New Roman" w:cs="Times New Roman"/>
                <w:kern w:val="0"/>
                <w14:ligatures w14:val="none"/>
              </w:rPr>
              <w:t>Average pharmacist time requirement per admission</w:t>
            </w:r>
            <w:hyperlink r:id="rId14" w:anchor="ast" w:history="1">
              <w:r w:rsidRPr="00E61A29">
                <w:rPr>
                  <w:rFonts w:ascii="Times New Roman" w:eastAsia="Times New Roman" w:hAnsi="Times New Roman" w:cs="Times New Roman"/>
                  <w:color w:val="005B94"/>
                  <w:kern w:val="0"/>
                  <w:u w:val="single"/>
                  <w14:ligatures w14:val="none"/>
                </w:rPr>
                <w:t>*</w:t>
              </w:r>
            </w:hyperlink>
          </w:p>
        </w:tc>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045E7669" w14:textId="77777777" w:rsidR="00E61A29" w:rsidRPr="00E61A29" w:rsidRDefault="00E61A29" w:rsidP="00E61A29">
            <w:pPr>
              <w:spacing w:before="150" w:after="450" w:line="240" w:lineRule="auto"/>
              <w:rPr>
                <w:rFonts w:ascii="Times New Roman" w:eastAsia="Times New Roman" w:hAnsi="Times New Roman" w:cs="Times New Roman"/>
                <w:kern w:val="0"/>
                <w14:ligatures w14:val="none"/>
              </w:rPr>
            </w:pPr>
            <w:r w:rsidRPr="00E61A29">
              <w:rPr>
                <w:rFonts w:ascii="Times New Roman" w:eastAsia="Times New Roman" w:hAnsi="Times New Roman" w:cs="Times New Roman"/>
                <w:kern w:val="0"/>
                <w14:ligatures w14:val="none"/>
              </w:rPr>
              <w:t>21 minutes</w:t>
            </w:r>
          </w:p>
        </w:tc>
      </w:tr>
      <w:tr w:rsidR="00E61A29" w:rsidRPr="00E61A29" w14:paraId="5C606847" w14:textId="77777777">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607E127A" w14:textId="77777777" w:rsidR="00E61A29" w:rsidRPr="00E61A29" w:rsidRDefault="00E61A29" w:rsidP="00E61A29">
            <w:pPr>
              <w:spacing w:before="150" w:after="450" w:line="240" w:lineRule="auto"/>
              <w:rPr>
                <w:rFonts w:ascii="Times New Roman" w:eastAsia="Times New Roman" w:hAnsi="Times New Roman" w:cs="Times New Roman"/>
                <w:kern w:val="0"/>
                <w14:ligatures w14:val="none"/>
              </w:rPr>
            </w:pPr>
            <w:r w:rsidRPr="00E61A29">
              <w:rPr>
                <w:rFonts w:ascii="Times New Roman" w:eastAsia="Times New Roman" w:hAnsi="Times New Roman" w:cs="Times New Roman"/>
                <w:kern w:val="0"/>
                <w14:ligatures w14:val="none"/>
              </w:rPr>
              <w:t>Additional pharmacist FTE needed to provide service (based on 115 admissions daily)</w:t>
            </w:r>
          </w:p>
        </w:tc>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5F97C4A9" w14:textId="77777777" w:rsidR="00E61A29" w:rsidRPr="00E61A29" w:rsidRDefault="00E61A29" w:rsidP="00E61A29">
            <w:pPr>
              <w:spacing w:before="150" w:after="450" w:line="240" w:lineRule="auto"/>
              <w:rPr>
                <w:rFonts w:ascii="Times New Roman" w:eastAsia="Times New Roman" w:hAnsi="Times New Roman" w:cs="Times New Roman"/>
                <w:kern w:val="0"/>
                <w14:ligatures w14:val="none"/>
              </w:rPr>
            </w:pPr>
            <w:r w:rsidRPr="00E61A29">
              <w:rPr>
                <w:rFonts w:ascii="Times New Roman" w:eastAsia="Times New Roman" w:hAnsi="Times New Roman" w:cs="Times New Roman"/>
                <w:kern w:val="0"/>
                <w14:ligatures w14:val="none"/>
              </w:rPr>
              <w:t>~ 5 FTE</w:t>
            </w:r>
          </w:p>
        </w:tc>
      </w:tr>
      <w:tr w:rsidR="00E61A29" w:rsidRPr="00E61A29" w14:paraId="1A7F74E9" w14:textId="77777777">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798D404F" w14:textId="77777777" w:rsidR="00E61A29" w:rsidRPr="00E61A29" w:rsidRDefault="00E61A29" w:rsidP="00E61A29">
            <w:pPr>
              <w:spacing w:before="150" w:after="450" w:line="240" w:lineRule="auto"/>
              <w:rPr>
                <w:rFonts w:ascii="Times New Roman" w:eastAsia="Times New Roman" w:hAnsi="Times New Roman" w:cs="Times New Roman"/>
                <w:kern w:val="0"/>
                <w14:ligatures w14:val="none"/>
              </w:rPr>
            </w:pPr>
            <w:r w:rsidRPr="00E61A29">
              <w:rPr>
                <w:rFonts w:ascii="Times New Roman" w:eastAsia="Times New Roman" w:hAnsi="Times New Roman" w:cs="Times New Roman"/>
                <w:kern w:val="0"/>
                <w14:ligatures w14:val="none"/>
              </w:rPr>
              <w:t>Cost of additional pharmacist FTE (salary + benefits)</w:t>
            </w:r>
          </w:p>
        </w:tc>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3AE912B5" w14:textId="77777777" w:rsidR="00E61A29" w:rsidRPr="00E61A29" w:rsidRDefault="00E61A29" w:rsidP="00E61A29">
            <w:pPr>
              <w:spacing w:before="150" w:after="450" w:line="240" w:lineRule="auto"/>
              <w:rPr>
                <w:rFonts w:ascii="Times New Roman" w:eastAsia="Times New Roman" w:hAnsi="Times New Roman" w:cs="Times New Roman"/>
                <w:kern w:val="0"/>
                <w14:ligatures w14:val="none"/>
              </w:rPr>
            </w:pPr>
            <w:r w:rsidRPr="00E61A29">
              <w:rPr>
                <w:rFonts w:ascii="Times New Roman" w:eastAsia="Times New Roman" w:hAnsi="Times New Roman" w:cs="Times New Roman"/>
                <w:kern w:val="0"/>
                <w14:ligatures w14:val="none"/>
              </w:rPr>
              <w:t>$625,000</w:t>
            </w:r>
          </w:p>
        </w:tc>
      </w:tr>
      <w:tr w:rsidR="00E61A29" w:rsidRPr="00E61A29" w14:paraId="095425D5" w14:textId="77777777">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26B4C93E" w14:textId="77777777" w:rsidR="00E61A29" w:rsidRPr="00E61A29" w:rsidRDefault="00E61A29" w:rsidP="00E61A29">
            <w:pPr>
              <w:spacing w:before="150" w:after="450" w:line="240" w:lineRule="auto"/>
              <w:rPr>
                <w:rFonts w:ascii="Times New Roman" w:eastAsia="Times New Roman" w:hAnsi="Times New Roman" w:cs="Times New Roman"/>
                <w:kern w:val="0"/>
                <w14:ligatures w14:val="none"/>
              </w:rPr>
            </w:pPr>
            <w:r w:rsidRPr="00E61A29">
              <w:rPr>
                <w:rFonts w:ascii="Times New Roman" w:eastAsia="Times New Roman" w:hAnsi="Times New Roman" w:cs="Times New Roman"/>
                <w:b/>
                <w:bCs/>
                <w:kern w:val="0"/>
                <w14:ligatures w14:val="none"/>
              </w:rPr>
              <w:t>Annual Net Savings / Cost Avoidance</w:t>
            </w:r>
          </w:p>
        </w:tc>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009904A7" w14:textId="77777777" w:rsidR="00E61A29" w:rsidRPr="00E61A29" w:rsidRDefault="00E61A29" w:rsidP="00E61A29">
            <w:pPr>
              <w:spacing w:before="150" w:after="450" w:line="240" w:lineRule="auto"/>
              <w:rPr>
                <w:rFonts w:ascii="Times New Roman" w:eastAsia="Times New Roman" w:hAnsi="Times New Roman" w:cs="Times New Roman"/>
                <w:kern w:val="0"/>
                <w14:ligatures w14:val="none"/>
              </w:rPr>
            </w:pPr>
            <w:r w:rsidRPr="00E61A29">
              <w:rPr>
                <w:rFonts w:ascii="Times New Roman" w:eastAsia="Times New Roman" w:hAnsi="Times New Roman" w:cs="Times New Roman"/>
                <w:b/>
                <w:bCs/>
                <w:kern w:val="0"/>
                <w14:ligatures w14:val="none"/>
              </w:rPr>
              <w:t>$11.4M</w:t>
            </w:r>
          </w:p>
        </w:tc>
      </w:tr>
    </w:tbl>
    <w:p w14:paraId="7C3C0177"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b/>
          <w:bCs/>
          <w:color w:val="1B1B1B"/>
          <w:kern w:val="0"/>
          <w:sz w:val="26"/>
          <w:szCs w:val="26"/>
          <w14:ligatures w14:val="none"/>
        </w:rPr>
        <w:t>Source:</w:t>
      </w:r>
      <w:r w:rsidRPr="00E61A29">
        <w:rPr>
          <w:rFonts w:ascii="Source Sans Pro" w:eastAsia="Times New Roman" w:hAnsi="Source Sans Pro" w:cs="Times New Roman"/>
          <w:color w:val="1B1B1B"/>
          <w:kern w:val="0"/>
          <w:sz w:val="26"/>
          <w:szCs w:val="26"/>
          <w14:ligatures w14:val="none"/>
        </w:rPr>
        <w:t> This template was presented by Steve Rough, MS, RPh, at the American Society of Health-System Pharmacists Summer Meeting, June 26, 2006. Used on MATCH Web site with permission.</w:t>
      </w:r>
    </w:p>
    <w:p w14:paraId="25113A91"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bookmarkStart w:id="0" w:name="tab2"/>
      <w:r w:rsidRPr="00E61A29">
        <w:rPr>
          <w:rFonts w:ascii="Source Sans Pro" w:eastAsia="Times New Roman" w:hAnsi="Source Sans Pro" w:cs="Times New Roman"/>
          <w:color w:val="1B1B1B"/>
          <w:kern w:val="0"/>
          <w:sz w:val="26"/>
          <w:szCs w:val="26"/>
          <w14:ligatures w14:val="none"/>
        </w:rPr>
        <w:t> </w:t>
      </w:r>
      <w:bookmarkEnd w:id="0"/>
    </w:p>
    <w:p w14:paraId="21008001" w14:textId="77777777" w:rsidR="00E61A29" w:rsidRPr="00E61A29" w:rsidRDefault="00E61A29" w:rsidP="00E61A29">
      <w:pPr>
        <w:shd w:val="clear" w:color="auto" w:fill="FFFFFF"/>
        <w:spacing w:after="100" w:afterAutospacing="1" w:line="312" w:lineRule="atLeast"/>
        <w:outlineLvl w:val="2"/>
        <w:rPr>
          <w:rFonts w:ascii="Arial" w:eastAsia="Times New Roman" w:hAnsi="Arial" w:cs="Arial"/>
          <w:b/>
          <w:bCs/>
          <w:color w:val="1B1B1B"/>
          <w:kern w:val="0"/>
          <w:sz w:val="36"/>
          <w:szCs w:val="36"/>
          <w14:ligatures w14:val="none"/>
        </w:rPr>
      </w:pPr>
      <w:r w:rsidRPr="00E61A29">
        <w:rPr>
          <w:rFonts w:ascii="Arial" w:eastAsia="Times New Roman" w:hAnsi="Arial" w:cs="Arial"/>
          <w:b/>
          <w:bCs/>
          <w:color w:val="1B1B1B"/>
          <w:kern w:val="0"/>
          <w:sz w:val="36"/>
          <w:szCs w:val="36"/>
          <w14:ligatures w14:val="none"/>
        </w:rPr>
        <w:t>Table 2: Time Requirements for Pharmacist-Obtained Medication Histories and Reconciliation</w:t>
      </w:r>
      <w:hyperlink r:id="rId15" w:anchor="ast" w:history="1">
        <w:r w:rsidRPr="00E61A29">
          <w:rPr>
            <w:rFonts w:ascii="Arial" w:eastAsia="Times New Roman" w:hAnsi="Arial" w:cs="Arial"/>
            <w:b/>
            <w:bCs/>
            <w:color w:val="005B94"/>
            <w:kern w:val="0"/>
            <w:sz w:val="36"/>
            <w:szCs w:val="36"/>
            <w:u w:val="single"/>
            <w14:ligatures w14:val="none"/>
          </w:rPr>
          <w:t>*</w:t>
        </w:r>
      </w:hyperlink>
    </w:p>
    <w:tbl>
      <w:tblPr>
        <w:tblW w:w="10940" w:type="dxa"/>
        <w:tblCellMar>
          <w:top w:w="80" w:type="dxa"/>
          <w:left w:w="80" w:type="dxa"/>
          <w:bottom w:w="80" w:type="dxa"/>
          <w:right w:w="80" w:type="dxa"/>
        </w:tblCellMar>
        <w:tblLook w:val="04A0" w:firstRow="1" w:lastRow="0" w:firstColumn="1" w:lastColumn="0" w:noHBand="0" w:noVBand="1"/>
      </w:tblPr>
      <w:tblGrid>
        <w:gridCol w:w="9008"/>
        <w:gridCol w:w="1932"/>
      </w:tblGrid>
      <w:tr w:rsidR="00E61A29" w:rsidRPr="00E61A29" w14:paraId="4CDA93F5" w14:textId="77777777">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2B3B6A1A" w14:textId="77777777" w:rsidR="00E61A29" w:rsidRPr="00E61A29" w:rsidRDefault="00E61A29" w:rsidP="00E61A29">
            <w:pPr>
              <w:spacing w:before="150" w:after="450" w:line="240" w:lineRule="auto"/>
              <w:rPr>
                <w:rFonts w:ascii="Times New Roman" w:eastAsia="Times New Roman" w:hAnsi="Times New Roman" w:cs="Times New Roman"/>
                <w:kern w:val="0"/>
                <w14:ligatures w14:val="none"/>
              </w:rPr>
            </w:pPr>
            <w:r w:rsidRPr="00E61A29">
              <w:rPr>
                <w:rFonts w:ascii="Times New Roman" w:eastAsia="Times New Roman" w:hAnsi="Times New Roman" w:cs="Times New Roman"/>
                <w:kern w:val="0"/>
                <w14:ligatures w14:val="none"/>
              </w:rPr>
              <w:t>Average time to obtain medication history</w:t>
            </w:r>
          </w:p>
        </w:tc>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216222B7" w14:textId="77777777" w:rsidR="00E61A29" w:rsidRPr="00E61A29" w:rsidRDefault="00E61A29" w:rsidP="00E61A29">
            <w:pPr>
              <w:spacing w:before="150" w:after="450" w:line="240" w:lineRule="auto"/>
              <w:rPr>
                <w:rFonts w:ascii="Times New Roman" w:eastAsia="Times New Roman" w:hAnsi="Times New Roman" w:cs="Times New Roman"/>
                <w:kern w:val="0"/>
                <w14:ligatures w14:val="none"/>
              </w:rPr>
            </w:pPr>
            <w:r w:rsidRPr="00E61A29">
              <w:rPr>
                <w:rFonts w:ascii="Times New Roman" w:eastAsia="Times New Roman" w:hAnsi="Times New Roman" w:cs="Times New Roman"/>
                <w:kern w:val="0"/>
                <w14:ligatures w14:val="none"/>
              </w:rPr>
              <w:t>9 minutes/patient</w:t>
            </w:r>
          </w:p>
        </w:tc>
      </w:tr>
      <w:tr w:rsidR="00E61A29" w:rsidRPr="00E61A29" w14:paraId="7F18BBBE" w14:textId="77777777">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786AF0CC" w14:textId="77777777" w:rsidR="00E61A29" w:rsidRPr="00E61A29" w:rsidRDefault="00E61A29" w:rsidP="00E61A29">
            <w:pPr>
              <w:spacing w:before="150" w:after="450" w:line="240" w:lineRule="auto"/>
              <w:rPr>
                <w:rFonts w:ascii="Times New Roman" w:eastAsia="Times New Roman" w:hAnsi="Times New Roman" w:cs="Times New Roman"/>
                <w:kern w:val="0"/>
                <w14:ligatures w14:val="none"/>
              </w:rPr>
            </w:pPr>
            <w:r w:rsidRPr="00E61A29">
              <w:rPr>
                <w:rFonts w:ascii="Times New Roman" w:eastAsia="Times New Roman" w:hAnsi="Times New Roman" w:cs="Times New Roman"/>
                <w:kern w:val="0"/>
                <w14:ligatures w14:val="none"/>
              </w:rPr>
              <w:t>Average time to obtain medication history and provide necessary interventions/documentation</w:t>
            </w:r>
          </w:p>
        </w:tc>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39A4B74C" w14:textId="77777777" w:rsidR="00E61A29" w:rsidRPr="00E61A29" w:rsidRDefault="00E61A29" w:rsidP="00E61A29">
            <w:pPr>
              <w:spacing w:before="150" w:after="450" w:line="240" w:lineRule="auto"/>
              <w:rPr>
                <w:rFonts w:ascii="Times New Roman" w:eastAsia="Times New Roman" w:hAnsi="Times New Roman" w:cs="Times New Roman"/>
                <w:kern w:val="0"/>
                <w14:ligatures w14:val="none"/>
              </w:rPr>
            </w:pPr>
            <w:r w:rsidRPr="00E61A29">
              <w:rPr>
                <w:rFonts w:ascii="Times New Roman" w:eastAsia="Times New Roman" w:hAnsi="Times New Roman" w:cs="Times New Roman"/>
                <w:kern w:val="0"/>
                <w14:ligatures w14:val="none"/>
              </w:rPr>
              <w:t>12 minutes/patient</w:t>
            </w:r>
          </w:p>
        </w:tc>
      </w:tr>
      <w:tr w:rsidR="00E61A29" w:rsidRPr="00E61A29" w14:paraId="1DA976D8" w14:textId="77777777">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72E75FC2" w14:textId="77777777" w:rsidR="00E61A29" w:rsidRPr="00E61A29" w:rsidRDefault="00E61A29" w:rsidP="00E61A29">
            <w:pPr>
              <w:spacing w:before="150" w:after="450" w:line="240" w:lineRule="auto"/>
              <w:rPr>
                <w:rFonts w:ascii="Times New Roman" w:eastAsia="Times New Roman" w:hAnsi="Times New Roman" w:cs="Times New Roman"/>
                <w:kern w:val="0"/>
                <w14:ligatures w14:val="none"/>
              </w:rPr>
            </w:pPr>
            <w:r w:rsidRPr="00E61A29">
              <w:rPr>
                <w:rFonts w:ascii="Times New Roman" w:eastAsia="Times New Roman" w:hAnsi="Times New Roman" w:cs="Times New Roman"/>
                <w:kern w:val="0"/>
                <w14:ligatures w14:val="none"/>
              </w:rPr>
              <w:t>Average time for chart review prior to medication history, medication history interview and necessary interventions/documentation</w:t>
            </w:r>
          </w:p>
        </w:tc>
        <w:tc>
          <w:tcPr>
            <w:tcW w:w="0" w:type="auto"/>
            <w:tcBorders>
              <w:top w:val="single" w:sz="6" w:space="0" w:color="5B616B"/>
              <w:left w:val="single" w:sz="6" w:space="0" w:color="5B616B"/>
              <w:bottom w:val="single" w:sz="6" w:space="0" w:color="5B616B"/>
              <w:right w:val="single" w:sz="6" w:space="0" w:color="5B616B"/>
            </w:tcBorders>
            <w:shd w:val="clear" w:color="auto" w:fill="FFFFFF"/>
            <w:tcMar>
              <w:top w:w="60" w:type="dxa"/>
              <w:left w:w="135" w:type="dxa"/>
              <w:bottom w:w="60" w:type="dxa"/>
              <w:right w:w="135" w:type="dxa"/>
            </w:tcMar>
            <w:hideMark/>
          </w:tcPr>
          <w:p w14:paraId="3151795B" w14:textId="77777777" w:rsidR="00E61A29" w:rsidRPr="00E61A29" w:rsidRDefault="00E61A29" w:rsidP="00E61A29">
            <w:pPr>
              <w:spacing w:before="150" w:after="450" w:line="240" w:lineRule="auto"/>
              <w:rPr>
                <w:rFonts w:ascii="Times New Roman" w:eastAsia="Times New Roman" w:hAnsi="Times New Roman" w:cs="Times New Roman"/>
                <w:kern w:val="0"/>
                <w14:ligatures w14:val="none"/>
              </w:rPr>
            </w:pPr>
            <w:r w:rsidRPr="00E61A29">
              <w:rPr>
                <w:rFonts w:ascii="Times New Roman" w:eastAsia="Times New Roman" w:hAnsi="Times New Roman" w:cs="Times New Roman"/>
                <w:kern w:val="0"/>
                <w14:ligatures w14:val="none"/>
              </w:rPr>
              <w:t>21 minutes/patient</w:t>
            </w:r>
          </w:p>
        </w:tc>
      </w:tr>
    </w:tbl>
    <w:p w14:paraId="09410DB2"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bookmarkStart w:id="1" w:name="ast"/>
      <w:r w:rsidRPr="00E61A29">
        <w:rPr>
          <w:rFonts w:ascii="Source Sans Pro" w:eastAsia="Times New Roman" w:hAnsi="Source Sans Pro" w:cs="Times New Roman"/>
          <w:color w:val="1B1B1B"/>
          <w:kern w:val="0"/>
          <w:sz w:val="26"/>
          <w:szCs w:val="26"/>
          <w14:ligatures w14:val="none"/>
        </w:rPr>
        <w:t> </w:t>
      </w:r>
      <w:bookmarkEnd w:id="1"/>
    </w:p>
    <w:p w14:paraId="1FB7153F"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lastRenderedPageBreak/>
        <w:t>* Based on an evaluation of 651 general medicine patients interviewed by a research pharmacist at Northwestern Memorial Hospital, Chicago, IL, who obtained a complete medication history and reconciled medications with other documented medication histories and current orders.</w:t>
      </w:r>
    </w:p>
    <w:p w14:paraId="4DB6D279"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These templates can be applied to other disciplines, as well as other transitions in care, using published error data or by looking at error data at your own institution.</w:t>
      </w:r>
    </w:p>
    <w:p w14:paraId="79B55BD2" w14:textId="77777777" w:rsidR="00E61A29" w:rsidRPr="00E61A29" w:rsidRDefault="00E61A29" w:rsidP="00E61A29">
      <w:pPr>
        <w:shd w:val="clear" w:color="auto" w:fill="FFFFFF"/>
        <w:spacing w:after="100" w:afterAutospacing="1" w:line="312" w:lineRule="atLeast"/>
        <w:outlineLvl w:val="2"/>
        <w:rPr>
          <w:rFonts w:ascii="Arial" w:eastAsia="Times New Roman" w:hAnsi="Arial" w:cs="Arial"/>
          <w:b/>
          <w:bCs/>
          <w:color w:val="1B1B1B"/>
          <w:kern w:val="0"/>
          <w:sz w:val="36"/>
          <w:szCs w:val="36"/>
          <w14:ligatures w14:val="none"/>
        </w:rPr>
      </w:pPr>
      <w:r w:rsidRPr="00E61A29">
        <w:rPr>
          <w:rFonts w:ascii="Arial" w:eastAsia="Times New Roman" w:hAnsi="Arial" w:cs="Arial"/>
          <w:b/>
          <w:bCs/>
          <w:color w:val="1B1B1B"/>
          <w:kern w:val="0"/>
          <w:sz w:val="36"/>
          <w:szCs w:val="36"/>
          <w14:ligatures w14:val="none"/>
        </w:rPr>
        <w:t>Linking Medication Reconciliation with Other Initiatives</w:t>
      </w:r>
    </w:p>
    <w:p w14:paraId="3D908EC3"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Making the connection to other ongoing quality and patient safety initiatives, regulatory/accreditation requirements, and operational efficiencies is important for garnering support and achieving a successful medication reconciliation process. Other initiatives that can be linked to your medication reconciliation efforts may include: The Joint Commission National Patient Safety Goals, Centers for Medicare &amp; Medicaid Services (CMS) process of care (core) measures, the Survey of Patients Hospital Experience, hospital readmissions, and other national quality improvement activities.</w:t>
      </w:r>
    </w:p>
    <w:p w14:paraId="6DC191E6"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b/>
          <w:bCs/>
          <w:color w:val="1B1B1B"/>
          <w:kern w:val="0"/>
          <w:sz w:val="26"/>
          <w:szCs w:val="26"/>
          <w14:ligatures w14:val="none"/>
        </w:rPr>
        <w:t>The Joint Commission Accreditation and Other National Quality Improvement Activities.</w:t>
      </w:r>
      <w:r w:rsidRPr="00E61A29">
        <w:rPr>
          <w:rFonts w:ascii="Source Sans Pro" w:eastAsia="Times New Roman" w:hAnsi="Source Sans Pro" w:cs="Times New Roman"/>
          <w:color w:val="1B1B1B"/>
          <w:kern w:val="0"/>
          <w:sz w:val="26"/>
          <w:szCs w:val="26"/>
          <w14:ligatures w14:val="none"/>
        </w:rPr>
        <w:t> TJC continues to recognize the importance of medication reconciliation, despite the need for several iterations to its NPSGs. The revised NPSG 03.06.01, which went into effect July 1, 2011, requires facilities to "maintain and communicate accurate patient medication information." This revised goal preserves the intent of the original NPSG while creating a more reasonable approach to tailor the process to meet specific medication management needs for a patient within a particular care setting. The MATCH toolkit can help facilities work toward meeting this patient safety goal.</w:t>
      </w:r>
    </w:p>
    <w:p w14:paraId="36071433"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 xml:space="preserve">Recent revisions to TJC NPSG </w:t>
      </w:r>
      <w:proofErr w:type="gramStart"/>
      <w:r w:rsidRPr="00E61A29">
        <w:rPr>
          <w:rFonts w:ascii="Source Sans Pro" w:eastAsia="Times New Roman" w:hAnsi="Source Sans Pro" w:cs="Times New Roman"/>
          <w:color w:val="1B1B1B"/>
          <w:kern w:val="0"/>
          <w:sz w:val="26"/>
          <w:szCs w:val="26"/>
          <w14:ligatures w14:val="none"/>
        </w:rPr>
        <w:t>take into account</w:t>
      </w:r>
      <w:proofErr w:type="gramEnd"/>
      <w:r w:rsidRPr="00E61A29">
        <w:rPr>
          <w:rFonts w:ascii="Source Sans Pro" w:eastAsia="Times New Roman" w:hAnsi="Source Sans Pro" w:cs="Times New Roman"/>
          <w:color w:val="1B1B1B"/>
          <w:kern w:val="0"/>
          <w:sz w:val="26"/>
          <w:szCs w:val="26"/>
          <w14:ligatures w14:val="none"/>
        </w:rPr>
        <w:t xml:space="preserve"> feedback from accredited organizations of the complexity of meeting the retired goal #8. Scoring for NPSG 03.06.01 resumed July 2011, and the elements of performance are noted below:</w:t>
      </w:r>
    </w:p>
    <w:p w14:paraId="489EB4BB" w14:textId="77777777" w:rsidR="00E61A29" w:rsidRPr="00E61A29" w:rsidRDefault="00E61A29" w:rsidP="00E61A29">
      <w:pPr>
        <w:numPr>
          <w:ilvl w:val="0"/>
          <w:numId w:val="5"/>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 xml:space="preserve">Obtain and document or verify patient's medication list when admitted or seen as an outpatient. Medications to inquire about should include current prescription and </w:t>
      </w:r>
      <w:proofErr w:type="gramStart"/>
      <w:r w:rsidRPr="00E61A29">
        <w:rPr>
          <w:rFonts w:ascii="Source Sans Pro" w:eastAsia="Times New Roman" w:hAnsi="Source Sans Pro" w:cs="Times New Roman"/>
          <w:color w:val="1B1B1B"/>
          <w:kern w:val="0"/>
          <w:sz w:val="26"/>
          <w:szCs w:val="26"/>
          <w14:ligatures w14:val="none"/>
        </w:rPr>
        <w:t>over-the-counter</w:t>
      </w:r>
      <w:proofErr w:type="gramEnd"/>
      <w:r w:rsidRPr="00E61A29">
        <w:rPr>
          <w:rFonts w:ascii="Source Sans Pro" w:eastAsia="Times New Roman" w:hAnsi="Source Sans Pro" w:cs="Times New Roman"/>
          <w:color w:val="1B1B1B"/>
          <w:kern w:val="0"/>
          <w:sz w:val="26"/>
          <w:szCs w:val="26"/>
          <w14:ligatures w14:val="none"/>
        </w:rPr>
        <w:t xml:space="preserve"> (OTC) medications, such as vitamins, supplements, eye drops, creams, ointments, and herbals.</w:t>
      </w:r>
    </w:p>
    <w:p w14:paraId="0B88395C" w14:textId="77777777" w:rsidR="00E61A29" w:rsidRPr="00E61A29" w:rsidRDefault="00E61A29" w:rsidP="00E61A29">
      <w:pPr>
        <w:numPr>
          <w:ilvl w:val="0"/>
          <w:numId w:val="5"/>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lastRenderedPageBreak/>
        <w:t>Define the types of medication information to be collected in non-24-hour settings and different patient circumstances.</w:t>
      </w:r>
    </w:p>
    <w:p w14:paraId="040D4695" w14:textId="77777777" w:rsidR="00E61A29" w:rsidRPr="00E61A29" w:rsidRDefault="00E61A29" w:rsidP="00E61A29">
      <w:pPr>
        <w:numPr>
          <w:ilvl w:val="0"/>
          <w:numId w:val="5"/>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Compare medication information the patient brought to the hospital with those ordered to identify unintended discrepancies (e.g., those not explained by the patient's clinical condition or formulary status). A qualified individual conducts the comparison, per TJC requirements. Discuss unintended discrepancies with the physician for resolution.</w:t>
      </w:r>
    </w:p>
    <w:p w14:paraId="0C597289" w14:textId="77777777" w:rsidR="00E61A29" w:rsidRPr="00E61A29" w:rsidRDefault="00E61A29" w:rsidP="00E61A29">
      <w:pPr>
        <w:numPr>
          <w:ilvl w:val="0"/>
          <w:numId w:val="5"/>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Provide the patient/family with written information on the medications the patient should be taking when discharged from the hospital, or at the end of an outpatient encounter.</w:t>
      </w:r>
    </w:p>
    <w:p w14:paraId="5E8BB248" w14:textId="77777777" w:rsidR="00E61A29" w:rsidRPr="00E61A29" w:rsidRDefault="00E61A29" w:rsidP="00E61A29">
      <w:pPr>
        <w:numPr>
          <w:ilvl w:val="0"/>
          <w:numId w:val="5"/>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Explain the importance of managing medication information to the patient when discharged or at the end of an outpatient encounter. Instruct the patient to:</w:t>
      </w:r>
    </w:p>
    <w:p w14:paraId="30435D0F" w14:textId="77777777" w:rsidR="00E61A29" w:rsidRPr="00E61A29" w:rsidRDefault="00E61A29" w:rsidP="00E61A29">
      <w:pPr>
        <w:numPr>
          <w:ilvl w:val="1"/>
          <w:numId w:val="5"/>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Give a list to their primary care provider.</w:t>
      </w:r>
    </w:p>
    <w:p w14:paraId="2355C751" w14:textId="77777777" w:rsidR="00E61A29" w:rsidRPr="00E61A29" w:rsidRDefault="00E61A29" w:rsidP="00E61A29">
      <w:pPr>
        <w:numPr>
          <w:ilvl w:val="1"/>
          <w:numId w:val="5"/>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Update the list when medications are discontinued, doses are changed, or new medications (including OTCs) are added.</w:t>
      </w:r>
    </w:p>
    <w:p w14:paraId="2CCC311D" w14:textId="77777777" w:rsidR="00E61A29" w:rsidRPr="00E61A29" w:rsidRDefault="00E61A29" w:rsidP="00E61A29">
      <w:pPr>
        <w:numPr>
          <w:ilvl w:val="1"/>
          <w:numId w:val="5"/>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proofErr w:type="gramStart"/>
      <w:r w:rsidRPr="00E61A29">
        <w:rPr>
          <w:rFonts w:ascii="Source Sans Pro" w:eastAsia="Times New Roman" w:hAnsi="Source Sans Pro" w:cs="Times New Roman"/>
          <w:color w:val="1B1B1B"/>
          <w:kern w:val="0"/>
          <w:sz w:val="26"/>
          <w:szCs w:val="26"/>
          <w14:ligatures w14:val="none"/>
        </w:rPr>
        <w:t>Carry medication information at all times</w:t>
      </w:r>
      <w:proofErr w:type="gramEnd"/>
      <w:r w:rsidRPr="00E61A29">
        <w:rPr>
          <w:rFonts w:ascii="Source Sans Pro" w:eastAsia="Times New Roman" w:hAnsi="Source Sans Pro" w:cs="Times New Roman"/>
          <w:color w:val="1B1B1B"/>
          <w:kern w:val="0"/>
          <w:sz w:val="26"/>
          <w:szCs w:val="26"/>
          <w14:ligatures w14:val="none"/>
        </w:rPr>
        <w:t xml:space="preserve"> in case of an emergency.</w:t>
      </w:r>
    </w:p>
    <w:p w14:paraId="3084F257"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b/>
          <w:bCs/>
          <w:color w:val="1B1B1B"/>
          <w:kern w:val="0"/>
          <w:sz w:val="26"/>
          <w:szCs w:val="26"/>
          <w14:ligatures w14:val="none"/>
        </w:rPr>
        <w:t>Centers for Medicare &amp; Medicaid Services Process of Care (Core) Measures.</w:t>
      </w:r>
      <w:r w:rsidRPr="00E61A29">
        <w:rPr>
          <w:rFonts w:ascii="Source Sans Pro" w:eastAsia="Times New Roman" w:hAnsi="Source Sans Pro" w:cs="Times New Roman"/>
          <w:color w:val="1B1B1B"/>
          <w:kern w:val="0"/>
          <w:sz w:val="26"/>
          <w:szCs w:val="26"/>
          <w14:ligatures w14:val="none"/>
        </w:rPr>
        <w:t> Process of care (core) measures demonstrate how often hospitals adhere to recommended treatments for certain medical conditions, such as acute myocardial infarction, heart failure, and pneumonia, or for surgical procedures. Hospital performance is publicly reported on the CMS Web site, </w:t>
      </w:r>
      <w:hyperlink r:id="rId16" w:history="1">
        <w:r w:rsidRPr="00E61A29">
          <w:rPr>
            <w:rFonts w:ascii="Source Sans Pro" w:eastAsia="Times New Roman" w:hAnsi="Source Sans Pro" w:cs="Times New Roman"/>
            <w:color w:val="005B94"/>
            <w:kern w:val="0"/>
            <w:sz w:val="26"/>
            <w:szCs w:val="26"/>
            <w:u w:val="single"/>
            <w14:ligatures w14:val="none"/>
          </w:rPr>
          <w:t>Hospital Compare</w:t>
        </w:r>
      </w:hyperlink>
      <w:r w:rsidRPr="00E61A29">
        <w:rPr>
          <w:rFonts w:ascii="Source Sans Pro" w:eastAsia="Times New Roman" w:hAnsi="Source Sans Pro" w:cs="Times New Roman"/>
          <w:color w:val="1B1B1B"/>
          <w:kern w:val="0"/>
          <w:sz w:val="26"/>
          <w:szCs w:val="26"/>
          <w14:ligatures w14:val="none"/>
        </w:rPr>
        <w:t>. Soon, several of these measures will move from a pay-for-reporting structure to reimbursement based on performance (value-based purchasing), rewarding hospitals for their achievements as well as improvements. Higher performance scores may be realized by applying medication reconciliation elements, for example:</w:t>
      </w:r>
    </w:p>
    <w:p w14:paraId="7751AE0C" w14:textId="77777777" w:rsidR="00E61A29" w:rsidRPr="00E61A29" w:rsidRDefault="00E61A29" w:rsidP="00E61A29">
      <w:pPr>
        <w:numPr>
          <w:ilvl w:val="0"/>
          <w:numId w:val="6"/>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Incorporating a reconciled medication list into the discharge instructions for heart failure patients.</w:t>
      </w:r>
    </w:p>
    <w:p w14:paraId="138EF647" w14:textId="77777777" w:rsidR="00E61A29" w:rsidRPr="00E61A29" w:rsidRDefault="00E61A29" w:rsidP="00E61A29">
      <w:pPr>
        <w:numPr>
          <w:ilvl w:val="0"/>
          <w:numId w:val="6"/>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Obtaining a vaccination history to determine eligibility to receive influenza vaccination or pneumococcal vaccination.</w:t>
      </w:r>
    </w:p>
    <w:p w14:paraId="6E8AB544" w14:textId="77777777" w:rsidR="00E61A29" w:rsidRPr="00E61A29" w:rsidRDefault="00E61A29" w:rsidP="00E61A29">
      <w:pPr>
        <w:numPr>
          <w:ilvl w:val="0"/>
          <w:numId w:val="6"/>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Determining whether patients were taking a beta-blocker prior to surgery and reconciling post-operative orders to ensure beta-blocker continuation after surgery.</w:t>
      </w:r>
    </w:p>
    <w:p w14:paraId="5A58E9BD"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b/>
          <w:bCs/>
          <w:color w:val="1B1B1B"/>
          <w:kern w:val="0"/>
          <w:sz w:val="26"/>
          <w:szCs w:val="26"/>
          <w14:ligatures w14:val="none"/>
        </w:rPr>
        <w:lastRenderedPageBreak/>
        <w:t>Survey of Patients Hospital Experience.</w:t>
      </w:r>
      <w:r w:rsidRPr="00E61A29">
        <w:rPr>
          <w:rFonts w:ascii="Source Sans Pro" w:eastAsia="Times New Roman" w:hAnsi="Source Sans Pro" w:cs="Times New Roman"/>
          <w:color w:val="1B1B1B"/>
          <w:kern w:val="0"/>
          <w:sz w:val="26"/>
          <w:szCs w:val="26"/>
          <w14:ligatures w14:val="none"/>
        </w:rPr>
        <w:t> Hospitals use the Hospital Consumer Assessment of Healthcare Providers and Systems (HCAHPS) survey, which is the first national, standardized, publicly reported survey of patients' perspectives of hospital care. While many hospitals have collected information on patient satisfaction for their own internal use, until HCAHPS there was no national standard for collecting and publicly reporting information about patient experience of care that allowed valid comparisons to be made across hospitals locally, regionally, and nationally. In the future, other health care settings (e.g., nursing homes; home health) will have similar requirements.</w:t>
      </w:r>
    </w:p>
    <w:p w14:paraId="200BD10D"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HCAHPS contains 18 patient perspectives on care and patient rating items that encompass eight key topics: Communication with doctors, communication with nurses, responsiveness of hospital staff, pain management, communication about medicines, discharge information, cleanliness of the hospital environment, and quietness of the hospital environment.</w:t>
      </w:r>
    </w:p>
    <w:p w14:paraId="005FADF4"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Sample survey questions pertaining to medications include:</w:t>
      </w:r>
    </w:p>
    <w:p w14:paraId="71A10F07" w14:textId="77777777" w:rsidR="00E61A29" w:rsidRPr="00E61A29" w:rsidRDefault="00E61A29" w:rsidP="00E61A29">
      <w:pPr>
        <w:numPr>
          <w:ilvl w:val="0"/>
          <w:numId w:val="7"/>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During this hospital stay, did you need medicine for pain?</w:t>
      </w:r>
    </w:p>
    <w:p w14:paraId="4ACA71E2" w14:textId="77777777" w:rsidR="00E61A29" w:rsidRPr="00E61A29" w:rsidRDefault="00E61A29" w:rsidP="00E61A29">
      <w:pPr>
        <w:numPr>
          <w:ilvl w:val="0"/>
          <w:numId w:val="7"/>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During this hospital stay, how often was your pain well controlled?</w:t>
      </w:r>
    </w:p>
    <w:p w14:paraId="537FDA5F" w14:textId="77777777" w:rsidR="00E61A29" w:rsidRPr="00E61A29" w:rsidRDefault="00E61A29" w:rsidP="00E61A29">
      <w:pPr>
        <w:numPr>
          <w:ilvl w:val="0"/>
          <w:numId w:val="7"/>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During this hospital stay, were you given any medicine that you had not taken before?</w:t>
      </w:r>
    </w:p>
    <w:p w14:paraId="6AE93E3C" w14:textId="77777777" w:rsidR="00E61A29" w:rsidRPr="00E61A29" w:rsidRDefault="00E61A29" w:rsidP="00E61A29">
      <w:pPr>
        <w:numPr>
          <w:ilvl w:val="0"/>
          <w:numId w:val="7"/>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Before giving you any new medicine, how often did hospital staff tell you what the medicine was for?</w:t>
      </w:r>
    </w:p>
    <w:p w14:paraId="110567D4" w14:textId="77777777" w:rsidR="00E61A29" w:rsidRPr="00E61A29" w:rsidRDefault="00E61A29" w:rsidP="00E61A29">
      <w:pPr>
        <w:numPr>
          <w:ilvl w:val="0"/>
          <w:numId w:val="7"/>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Before giving you any new medicine, how often did hospital staff describe possible side effects in a way you could understand?</w:t>
      </w:r>
    </w:p>
    <w:p w14:paraId="176CF660" w14:textId="33462A25"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A complete list of HCAHPS survey questions is at </w:t>
      </w:r>
      <w:hyperlink r:id="rId17" w:tgtFrame="_blank" w:history="1">
        <w:r w:rsidRPr="00E61A29">
          <w:rPr>
            <w:rFonts w:ascii="Source Sans Pro" w:eastAsia="Times New Roman" w:hAnsi="Source Sans Pro" w:cs="Times New Roman"/>
            <w:color w:val="005B94"/>
            <w:kern w:val="0"/>
            <w:sz w:val="26"/>
            <w:szCs w:val="26"/>
            <w:u w:val="single"/>
            <w14:ligatures w14:val="none"/>
          </w:rPr>
          <w:t>http://www.hcahpsonline.org/home.aspx</w:t>
        </w:r>
      </w:hyperlink>
      <w:r w:rsidRPr="00E61A29">
        <w:rPr>
          <w:rFonts w:ascii="Source Sans Pro" w:eastAsia="Times New Roman" w:hAnsi="Source Sans Pro" w:cs="Times New Roman"/>
          <w:color w:val="1B1B1B"/>
          <w:kern w:val="0"/>
          <w:sz w:val="26"/>
          <w:szCs w:val="26"/>
          <w14:ligatures w14:val="none"/>
        </w:rPr>
        <w:t> </w:t>
      </w:r>
      <w:r w:rsidRPr="00E61A29">
        <w:rPr>
          <w:rFonts w:ascii="Source Sans Pro" w:eastAsia="Times New Roman" w:hAnsi="Source Sans Pro" w:cs="Times New Roman"/>
          <w:noProof/>
          <w:color w:val="005B94"/>
          <w:kern w:val="0"/>
          <w:sz w:val="26"/>
          <w:szCs w:val="26"/>
          <w14:ligatures w14:val="none"/>
        </w:rPr>
        <w:drawing>
          <wp:inline distT="0" distB="0" distL="0" distR="0" wp14:anchorId="44DC8943" wp14:editId="4434A90D">
            <wp:extent cx="253365" cy="253365"/>
            <wp:effectExtent l="0" t="0" r="635" b="635"/>
            <wp:docPr id="1237462898" name="Picture 2" descr="External Link Disclaimer">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ternal Link Disclaimer">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3365" cy="253365"/>
                    </a:xfrm>
                    <a:prstGeom prst="rect">
                      <a:avLst/>
                    </a:prstGeom>
                    <a:noFill/>
                    <a:ln>
                      <a:noFill/>
                    </a:ln>
                  </pic:spPr>
                </pic:pic>
              </a:graphicData>
            </a:graphic>
          </wp:inline>
        </w:drawing>
      </w:r>
      <w:r w:rsidRPr="00E61A29">
        <w:rPr>
          <w:rFonts w:ascii="Source Sans Pro" w:eastAsia="Times New Roman" w:hAnsi="Source Sans Pro" w:cs="Times New Roman"/>
          <w:color w:val="1B1B1B"/>
          <w:kern w:val="0"/>
          <w:sz w:val="26"/>
          <w:szCs w:val="26"/>
          <w14:ligatures w14:val="none"/>
        </w:rPr>
        <w:t>.</w:t>
      </w:r>
    </w:p>
    <w:p w14:paraId="4A3489DB"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b/>
          <w:bCs/>
          <w:color w:val="1B1B1B"/>
          <w:kern w:val="0"/>
          <w:sz w:val="26"/>
          <w:szCs w:val="26"/>
          <w14:ligatures w14:val="none"/>
        </w:rPr>
        <w:t>Meaningful Use of Electronic Health Records.</w:t>
      </w:r>
      <w:r w:rsidRPr="00E61A29">
        <w:rPr>
          <w:rFonts w:ascii="Source Sans Pro" w:eastAsia="Times New Roman" w:hAnsi="Source Sans Pro" w:cs="Times New Roman"/>
          <w:color w:val="1B1B1B"/>
          <w:kern w:val="0"/>
          <w:sz w:val="26"/>
          <w:szCs w:val="26"/>
          <w14:ligatures w14:val="none"/>
        </w:rPr>
        <w:t xml:space="preserve"> Many health care providers utilize paper-based medical record systems. New government incentives and programs are encouraging health care providers across the country to convert to or adopt electronic health records (EHRs). Specifically, the Health Information Technology for Economic and Clinical Health (HITECH) Act provides the U.S. Department of Health and Human Services (HHS) with the authority to establish programs to improve health care </w:t>
      </w:r>
      <w:r w:rsidRPr="00E61A29">
        <w:rPr>
          <w:rFonts w:ascii="Source Sans Pro" w:eastAsia="Times New Roman" w:hAnsi="Source Sans Pro" w:cs="Times New Roman"/>
          <w:color w:val="1B1B1B"/>
          <w:kern w:val="0"/>
          <w:sz w:val="26"/>
          <w:szCs w:val="26"/>
          <w14:ligatures w14:val="none"/>
        </w:rPr>
        <w:lastRenderedPageBreak/>
        <w:t>quality, safety, and efficiency through the promotion of health information technology (IT), including EHRs and private and secure electronic health information exchange. Under HITECH, eligible health care professionals and hospitals can qualify for Medicare and Medicaid incentive payments when they adopt certified EHR technology and use it to achieve specified objectives. With respect to EHRs, health care providers are required to succeed in each of these three areas:</w:t>
      </w:r>
    </w:p>
    <w:p w14:paraId="5C996D40" w14:textId="77777777" w:rsidR="00E61A29" w:rsidRPr="00E61A29" w:rsidRDefault="00E61A29" w:rsidP="00E61A29">
      <w:pPr>
        <w:numPr>
          <w:ilvl w:val="0"/>
          <w:numId w:val="8"/>
        </w:numPr>
        <w:shd w:val="clear" w:color="auto" w:fill="FFFFFF"/>
        <w:spacing w:before="100" w:beforeAutospacing="1"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Gathering of complete and accurate information.</w:t>
      </w:r>
    </w:p>
    <w:p w14:paraId="0501102A" w14:textId="77777777" w:rsidR="00E61A29" w:rsidRPr="00E61A29" w:rsidRDefault="00E61A29" w:rsidP="00E61A29">
      <w:pPr>
        <w:numPr>
          <w:ilvl w:val="0"/>
          <w:numId w:val="8"/>
        </w:numPr>
        <w:shd w:val="clear" w:color="auto" w:fill="FFFFFF"/>
        <w:spacing w:before="100" w:beforeAutospacing="1"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Achieving improved access to patient information.</w:t>
      </w:r>
    </w:p>
    <w:p w14:paraId="14D5BB8E" w14:textId="77777777" w:rsidR="00E61A29" w:rsidRPr="00E61A29" w:rsidRDefault="00E61A29" w:rsidP="00E61A29">
      <w:pPr>
        <w:numPr>
          <w:ilvl w:val="0"/>
          <w:numId w:val="8"/>
        </w:numPr>
        <w:shd w:val="clear" w:color="auto" w:fill="FFFFFF"/>
        <w:spacing w:before="100" w:beforeAutospacing="1"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Empowering patients.</w:t>
      </w:r>
    </w:p>
    <w:p w14:paraId="6688F513"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The MATCH toolkit can be implemented through an EHR (for example, go to the </w:t>
      </w:r>
      <w:hyperlink r:id="rId18" w:history="1">
        <w:r w:rsidRPr="00E61A29">
          <w:rPr>
            <w:rFonts w:ascii="Source Sans Pro" w:eastAsia="Times New Roman" w:hAnsi="Source Sans Pro" w:cs="Times New Roman"/>
            <w:color w:val="005B94"/>
            <w:kern w:val="0"/>
            <w:sz w:val="26"/>
            <w:szCs w:val="26"/>
            <w:u w:val="single"/>
            <w14:ligatures w14:val="none"/>
          </w:rPr>
          <w:t>examples in Chapter 3</w:t>
        </w:r>
      </w:hyperlink>
      <w:r w:rsidRPr="00E61A29">
        <w:rPr>
          <w:rFonts w:ascii="Source Sans Pro" w:eastAsia="Times New Roman" w:hAnsi="Source Sans Pro" w:cs="Times New Roman"/>
          <w:color w:val="1B1B1B"/>
          <w:kern w:val="0"/>
          <w:sz w:val="26"/>
          <w:szCs w:val="26"/>
          <w14:ligatures w14:val="none"/>
        </w:rPr>
        <w:t>) or to help health care providers meet these goals. It provides a framework to capture complete and accurate medication information, improves communication of that information among health care providers, and empowers the patient to know what medications are needed after leaving a care setting.</w:t>
      </w:r>
    </w:p>
    <w:p w14:paraId="2F2EC67A"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For more specific details on Meaningful Use, visit the HHA Office of the National Coordinator for Health IT (ONC) Web site at </w:t>
      </w:r>
      <w:hyperlink r:id="rId19" w:history="1">
        <w:r w:rsidRPr="00E61A29">
          <w:rPr>
            <w:rFonts w:ascii="Source Sans Pro" w:eastAsia="Times New Roman" w:hAnsi="Source Sans Pro" w:cs="Times New Roman"/>
            <w:color w:val="005B94"/>
            <w:kern w:val="0"/>
            <w:sz w:val="26"/>
            <w:szCs w:val="26"/>
            <w:u w:val="single"/>
            <w14:ligatures w14:val="none"/>
          </w:rPr>
          <w:t>http://healthit.hhs.gov/portal/server.pt?open=512&amp;objID=2996&amp;mode=2</w:t>
        </w:r>
      </w:hyperlink>
      <w:r w:rsidRPr="00E61A29">
        <w:rPr>
          <w:rFonts w:ascii="Source Sans Pro" w:eastAsia="Times New Roman" w:hAnsi="Source Sans Pro" w:cs="Times New Roman"/>
          <w:color w:val="1B1B1B"/>
          <w:kern w:val="0"/>
          <w:sz w:val="26"/>
          <w:szCs w:val="26"/>
          <w14:ligatures w14:val="none"/>
        </w:rPr>
        <w:t>. The ONC Health IT Web site also includes information on how to qualify for Medicare/Medicaid incentive payments related to Meaningful Use.</w:t>
      </w:r>
    </w:p>
    <w:p w14:paraId="3080F15D"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b/>
          <w:bCs/>
          <w:color w:val="1B1B1B"/>
          <w:kern w:val="0"/>
          <w:sz w:val="26"/>
          <w:szCs w:val="26"/>
          <w14:ligatures w14:val="none"/>
        </w:rPr>
        <w:t>Reducing Readmissions and Other National Initiatives.</w:t>
      </w:r>
      <w:r w:rsidRPr="00E61A29">
        <w:rPr>
          <w:rFonts w:ascii="Source Sans Pro" w:eastAsia="Times New Roman" w:hAnsi="Source Sans Pro" w:cs="Times New Roman"/>
          <w:color w:val="1B1B1B"/>
          <w:kern w:val="0"/>
          <w:sz w:val="26"/>
          <w:szCs w:val="26"/>
          <w14:ligatures w14:val="none"/>
        </w:rPr>
        <w:t xml:space="preserve"> A successful business case should help leadership make the connection between clinical quality, medication reconciliation, and medication safety by highlighting outcomes such as a reduction of ADEs or hospital readmissions due to medication discrepancies carried across the continuum of care. In 2011, the HHS launched the largest national quality improvement initiative in the history of our health system. The Partnership for Patients initiative has challenged hospitals to improve the quality, safety, and affordability of health care for all Americans. This public-private partnership has two main goals: To keep patients from getting injured or sicker from the care they receive by reducing preventable hospital acquired conditions and to help patients heal without complication by improving the transition process. More information on the </w:t>
      </w:r>
      <w:r w:rsidRPr="00E61A29">
        <w:rPr>
          <w:rFonts w:ascii="Source Sans Pro" w:eastAsia="Times New Roman" w:hAnsi="Source Sans Pro" w:cs="Times New Roman"/>
          <w:color w:val="1B1B1B"/>
          <w:kern w:val="0"/>
          <w:sz w:val="26"/>
          <w:szCs w:val="26"/>
          <w14:ligatures w14:val="none"/>
        </w:rPr>
        <w:lastRenderedPageBreak/>
        <w:t>Partnership for Patients is available at: </w:t>
      </w:r>
      <w:hyperlink r:id="rId20" w:history="1">
        <w:r w:rsidRPr="00E61A29">
          <w:rPr>
            <w:rFonts w:ascii="Source Sans Pro" w:eastAsia="Times New Roman" w:hAnsi="Source Sans Pro" w:cs="Times New Roman"/>
            <w:color w:val="005B94"/>
            <w:kern w:val="0"/>
            <w:sz w:val="26"/>
            <w:szCs w:val="26"/>
            <w:u w:val="single"/>
            <w14:ligatures w14:val="none"/>
          </w:rPr>
          <w:t>http://www.healthcare.gov/compare/partnership-for-patients/</w:t>
        </w:r>
      </w:hyperlink>
      <w:r w:rsidRPr="00E61A29">
        <w:rPr>
          <w:rFonts w:ascii="Source Sans Pro" w:eastAsia="Times New Roman" w:hAnsi="Source Sans Pro" w:cs="Times New Roman"/>
          <w:color w:val="1B1B1B"/>
          <w:kern w:val="0"/>
          <w:sz w:val="26"/>
          <w:szCs w:val="26"/>
          <w14:ligatures w14:val="none"/>
        </w:rPr>
        <w:t>.</w:t>
      </w:r>
    </w:p>
    <w:p w14:paraId="5DB85BB8" w14:textId="77777777" w:rsidR="00E61A29" w:rsidRPr="00E61A29" w:rsidRDefault="00E61A29" w:rsidP="00E61A29">
      <w:pPr>
        <w:shd w:val="clear" w:color="auto" w:fill="FFFFFF"/>
        <w:spacing w:after="100" w:afterAutospacing="1" w:line="312" w:lineRule="atLeast"/>
        <w:outlineLvl w:val="2"/>
        <w:rPr>
          <w:rFonts w:ascii="Arial" w:eastAsia="Times New Roman" w:hAnsi="Arial" w:cs="Arial"/>
          <w:b/>
          <w:bCs/>
          <w:color w:val="1B1B1B"/>
          <w:kern w:val="0"/>
          <w:sz w:val="36"/>
          <w:szCs w:val="36"/>
          <w14:ligatures w14:val="none"/>
        </w:rPr>
      </w:pPr>
      <w:r w:rsidRPr="00E61A29">
        <w:rPr>
          <w:rFonts w:ascii="Arial" w:eastAsia="Times New Roman" w:hAnsi="Arial" w:cs="Arial"/>
          <w:b/>
          <w:bCs/>
          <w:color w:val="1B1B1B"/>
          <w:kern w:val="0"/>
          <w:sz w:val="36"/>
          <w:szCs w:val="36"/>
          <w14:ligatures w14:val="none"/>
        </w:rPr>
        <w:t>Chapter 1 Lessons Learned:</w:t>
      </w:r>
    </w:p>
    <w:p w14:paraId="04A38102"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Lessons learned from staff of facilities that have implemented MATCH and facilities that received technical assistance on MATCH through the AHRQ QIO Learning Network include:</w:t>
      </w:r>
    </w:p>
    <w:p w14:paraId="0F98D111" w14:textId="77777777" w:rsidR="00E61A29" w:rsidRPr="00E61A29" w:rsidRDefault="00E61A29" w:rsidP="00E61A29">
      <w:pPr>
        <w:numPr>
          <w:ilvl w:val="0"/>
          <w:numId w:val="9"/>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Leaders who attended MATCH trainings were able to achieve a high level of success as well as generate excitement around their medication reconciliation initiatives in their facilities.</w:t>
      </w:r>
    </w:p>
    <w:p w14:paraId="74993A83" w14:textId="77777777" w:rsidR="00E61A29" w:rsidRPr="00E61A29" w:rsidRDefault="00E61A29" w:rsidP="00E61A29">
      <w:pPr>
        <w:numPr>
          <w:ilvl w:val="0"/>
          <w:numId w:val="9"/>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Leadership support should encompass more than an organizational endorsement; the support requires a sustained commitment of resources and time through the continuum of care.</w:t>
      </w:r>
    </w:p>
    <w:p w14:paraId="35669C6A" w14:textId="77777777" w:rsidR="00E61A29" w:rsidRPr="00E61A29" w:rsidRDefault="00E61A29" w:rsidP="00E61A29">
      <w:pPr>
        <w:numPr>
          <w:ilvl w:val="0"/>
          <w:numId w:val="9"/>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A leadership team with continual involvement, focus, and commitment is integral to the success of a medication reconciliation project.</w:t>
      </w:r>
    </w:p>
    <w:p w14:paraId="3C8B6CD8" w14:textId="77777777" w:rsidR="00E61A29" w:rsidRPr="00E61A29" w:rsidRDefault="00E61A29" w:rsidP="00E61A29">
      <w:pPr>
        <w:numPr>
          <w:ilvl w:val="0"/>
          <w:numId w:val="9"/>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A multidisciplinary team, including patient involvement, ensures the project design incorporates diverse perspectives and practice settings.</w:t>
      </w:r>
    </w:p>
    <w:p w14:paraId="4BDB683E" w14:textId="77777777" w:rsidR="00E61A29" w:rsidRPr="00E61A29" w:rsidRDefault="00E61A29" w:rsidP="00E61A29">
      <w:pPr>
        <w:numPr>
          <w:ilvl w:val="0"/>
          <w:numId w:val="9"/>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The leadership team should promote the concepts of this toolkit into culture and practice for safe medication management in the facility.</w:t>
      </w:r>
    </w:p>
    <w:p w14:paraId="3B3B0131" w14:textId="77777777" w:rsidR="00E61A29" w:rsidRPr="00E61A29" w:rsidRDefault="00E61A29" w:rsidP="00E61A29">
      <w:pPr>
        <w:numPr>
          <w:ilvl w:val="0"/>
          <w:numId w:val="9"/>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Follow the steps in the toolkit sequentially to establish a foundation for the project. Overlooking one step can hinder progress toward the established goal(s).</w:t>
      </w:r>
    </w:p>
    <w:p w14:paraId="61A99981" w14:textId="77777777" w:rsidR="00E61A29" w:rsidRPr="00E61A29" w:rsidRDefault="00E61A29" w:rsidP="00E61A29">
      <w:pPr>
        <w:spacing w:after="0" w:line="240" w:lineRule="auto"/>
        <w:rPr>
          <w:rFonts w:ascii="Times New Roman" w:eastAsia="Times New Roman" w:hAnsi="Times New Roman" w:cs="Times New Roman"/>
          <w:kern w:val="0"/>
          <w14:ligatures w14:val="none"/>
        </w:rPr>
      </w:pPr>
    </w:p>
    <w:p w14:paraId="1BA536CD" w14:textId="77777777" w:rsidR="00E61A29" w:rsidRPr="00E61A29" w:rsidRDefault="00E61A29" w:rsidP="00E61A29">
      <w:pPr>
        <w:shd w:val="clear" w:color="auto" w:fill="FFFFFF"/>
        <w:spacing w:after="100" w:afterAutospacing="1" w:line="312" w:lineRule="atLeast"/>
        <w:outlineLvl w:val="1"/>
        <w:rPr>
          <w:rFonts w:ascii="Arial" w:eastAsia="Times New Roman" w:hAnsi="Arial" w:cs="Arial"/>
          <w:b/>
          <w:bCs/>
          <w:color w:val="1B1B1B"/>
          <w:kern w:val="0"/>
          <w:sz w:val="45"/>
          <w:szCs w:val="45"/>
          <w14:ligatures w14:val="none"/>
        </w:rPr>
      </w:pPr>
      <w:r w:rsidRPr="00E61A29">
        <w:rPr>
          <w:rFonts w:ascii="Arial" w:eastAsia="Times New Roman" w:hAnsi="Arial" w:cs="Arial"/>
          <w:b/>
          <w:bCs/>
          <w:color w:val="1B1B1B"/>
          <w:kern w:val="0"/>
          <w:sz w:val="45"/>
          <w:szCs w:val="45"/>
          <w14:ligatures w14:val="none"/>
        </w:rPr>
        <w:t>Chapter 2. Building the Project Foundation: Project Teams and Scope</w:t>
      </w:r>
    </w:p>
    <w:p w14:paraId="770E77A4"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Once the business case has been made for medication reconciliation and leadership support has been obtained, the next steps toward building the foundation for your project include:</w:t>
      </w:r>
    </w:p>
    <w:p w14:paraId="0110BF33" w14:textId="77777777" w:rsidR="00E61A29" w:rsidRPr="00E61A29" w:rsidRDefault="00E61A29" w:rsidP="00E61A29">
      <w:pPr>
        <w:numPr>
          <w:ilvl w:val="0"/>
          <w:numId w:val="10"/>
        </w:numPr>
        <w:shd w:val="clear" w:color="auto" w:fill="FFFFFF"/>
        <w:spacing w:before="100" w:beforeAutospacing="1"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Identify and assemble an interdisciplinary team.</w:t>
      </w:r>
    </w:p>
    <w:p w14:paraId="7A83BB4D" w14:textId="77777777" w:rsidR="00E61A29" w:rsidRPr="00E61A29" w:rsidRDefault="00E61A29" w:rsidP="00E61A29">
      <w:pPr>
        <w:numPr>
          <w:ilvl w:val="0"/>
          <w:numId w:val="10"/>
        </w:numPr>
        <w:shd w:val="clear" w:color="auto" w:fill="FFFFFF"/>
        <w:spacing w:before="100" w:beforeAutospacing="1"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Create a flowchart of the current medication reconciliation process.</w:t>
      </w:r>
    </w:p>
    <w:p w14:paraId="2AB56685" w14:textId="77777777" w:rsidR="00E61A29" w:rsidRPr="00E61A29" w:rsidRDefault="00E61A29" w:rsidP="00E61A29">
      <w:pPr>
        <w:numPr>
          <w:ilvl w:val="0"/>
          <w:numId w:val="10"/>
        </w:numPr>
        <w:shd w:val="clear" w:color="auto" w:fill="FFFFFF"/>
        <w:spacing w:before="100" w:beforeAutospacing="1"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lastRenderedPageBreak/>
        <w:t>Develop a project charter or work plan for improvements.</w:t>
      </w:r>
    </w:p>
    <w:p w14:paraId="0C2AD0C4" w14:textId="77777777" w:rsidR="00E61A29" w:rsidRPr="00E61A29" w:rsidRDefault="00E61A29" w:rsidP="00E61A29">
      <w:pPr>
        <w:numPr>
          <w:ilvl w:val="0"/>
          <w:numId w:val="10"/>
        </w:numPr>
        <w:shd w:val="clear" w:color="auto" w:fill="FFFFFF"/>
        <w:spacing w:before="100" w:beforeAutospacing="1"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Establish measurement strategy.</w:t>
      </w:r>
    </w:p>
    <w:p w14:paraId="61979783"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The above steps build on one another and are essential in establishing a solid foundation to support improvement efforts.</w:t>
      </w:r>
    </w:p>
    <w:p w14:paraId="0F9C7228" w14:textId="77777777" w:rsidR="00E61A29" w:rsidRPr="00E61A29" w:rsidRDefault="00E61A29" w:rsidP="00E61A29">
      <w:pPr>
        <w:shd w:val="clear" w:color="auto" w:fill="FFFFFF"/>
        <w:spacing w:after="100" w:afterAutospacing="1" w:line="312" w:lineRule="atLeast"/>
        <w:outlineLvl w:val="2"/>
        <w:rPr>
          <w:rFonts w:ascii="Arial" w:eastAsia="Times New Roman" w:hAnsi="Arial" w:cs="Arial"/>
          <w:b/>
          <w:bCs/>
          <w:color w:val="1B1B1B"/>
          <w:kern w:val="0"/>
          <w:sz w:val="36"/>
          <w:szCs w:val="36"/>
          <w14:ligatures w14:val="none"/>
        </w:rPr>
      </w:pPr>
      <w:r w:rsidRPr="00E61A29">
        <w:rPr>
          <w:rFonts w:ascii="Arial" w:eastAsia="Times New Roman" w:hAnsi="Arial" w:cs="Arial"/>
          <w:b/>
          <w:bCs/>
          <w:color w:val="1B1B1B"/>
          <w:kern w:val="0"/>
          <w:sz w:val="36"/>
          <w:szCs w:val="36"/>
          <w14:ligatures w14:val="none"/>
        </w:rPr>
        <w:t>Step 1: Identify and Assemble an Interdisciplinary Team</w:t>
      </w:r>
    </w:p>
    <w:p w14:paraId="7FD41BC7"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Assembling a medication reconciliation team is an important first step. The team will be responsible for reviewing the current medication reconciliation process, identifying gaps and opportunities for improvement, and taking the lead on process design/re-design within the health care facility.</w:t>
      </w:r>
    </w:p>
    <w:p w14:paraId="073AAACA"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The medication reconciliation team may be subdivided into three core groups:</w:t>
      </w:r>
    </w:p>
    <w:p w14:paraId="70B6C6D8" w14:textId="77777777" w:rsidR="00E61A29" w:rsidRPr="00E61A29" w:rsidRDefault="00E61A29" w:rsidP="00E61A29">
      <w:pPr>
        <w:numPr>
          <w:ilvl w:val="0"/>
          <w:numId w:val="11"/>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Leadership Team.</w:t>
      </w:r>
    </w:p>
    <w:p w14:paraId="2EF746E7" w14:textId="77777777" w:rsidR="00E61A29" w:rsidRPr="00E61A29" w:rsidRDefault="00E61A29" w:rsidP="00E61A29">
      <w:pPr>
        <w:numPr>
          <w:ilvl w:val="0"/>
          <w:numId w:val="11"/>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Design Team.</w:t>
      </w:r>
    </w:p>
    <w:p w14:paraId="5F67DE1D" w14:textId="77777777" w:rsidR="00E61A29" w:rsidRPr="00E61A29" w:rsidRDefault="00E61A29" w:rsidP="00E61A29">
      <w:pPr>
        <w:numPr>
          <w:ilvl w:val="0"/>
          <w:numId w:val="11"/>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Additional Stakeholders.</w:t>
      </w:r>
    </w:p>
    <w:p w14:paraId="2EC0E257"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A "stakeholder's analysis" helps identify key people in the facility who will be affected by the project; these individuals can range from hospital leadership to frontline staff to patients. List each stakeholder's role, impact, and interest in the project.</w:t>
      </w:r>
    </w:p>
    <w:p w14:paraId="38B7FB59" w14:textId="77777777" w:rsidR="00E61A29" w:rsidRPr="00E61A29" w:rsidRDefault="00E61A29" w:rsidP="00E61A29">
      <w:pPr>
        <w:shd w:val="clear" w:color="auto" w:fill="FFFFFF"/>
        <w:spacing w:after="100" w:afterAutospacing="1" w:line="312" w:lineRule="atLeast"/>
        <w:outlineLvl w:val="3"/>
        <w:rPr>
          <w:rFonts w:ascii="Arial" w:eastAsia="Times New Roman" w:hAnsi="Arial" w:cs="Arial"/>
          <w:b/>
          <w:bCs/>
          <w:color w:val="1B1B1B"/>
          <w:kern w:val="0"/>
          <w:sz w:val="30"/>
          <w:szCs w:val="30"/>
          <w14:ligatures w14:val="none"/>
        </w:rPr>
      </w:pPr>
      <w:r w:rsidRPr="00E61A29">
        <w:rPr>
          <w:rFonts w:ascii="Arial" w:eastAsia="Times New Roman" w:hAnsi="Arial" w:cs="Arial"/>
          <w:b/>
          <w:bCs/>
          <w:color w:val="1B1B1B"/>
          <w:kern w:val="0"/>
          <w:sz w:val="30"/>
          <w:szCs w:val="30"/>
          <w14:ligatures w14:val="none"/>
        </w:rPr>
        <w:t>Roles and Responsibilities of Team Members</w:t>
      </w:r>
    </w:p>
    <w:p w14:paraId="053253B6"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 xml:space="preserve">To gain support, team members must be clear about their role on the committee; being specific about the expectations of the project will allow each member to decide if they can handle the assignment before it is given. This will also allow each member to make a commitment to the team and carry out this responsibility to the end. Examples of establishing defined roles may </w:t>
      </w:r>
      <w:proofErr w:type="gramStart"/>
      <w:r w:rsidRPr="00E61A29">
        <w:rPr>
          <w:rFonts w:ascii="Source Sans Pro" w:eastAsia="Times New Roman" w:hAnsi="Source Sans Pro" w:cs="Times New Roman"/>
          <w:color w:val="1B1B1B"/>
          <w:kern w:val="0"/>
          <w:sz w:val="26"/>
          <w:szCs w:val="26"/>
          <w14:ligatures w14:val="none"/>
        </w:rPr>
        <w:t>include:</w:t>
      </w:r>
      <w:proofErr w:type="gramEnd"/>
      <w:r w:rsidRPr="00E61A29">
        <w:rPr>
          <w:rFonts w:ascii="Source Sans Pro" w:eastAsia="Times New Roman" w:hAnsi="Source Sans Pro" w:cs="Times New Roman"/>
          <w:color w:val="1B1B1B"/>
          <w:kern w:val="0"/>
          <w:sz w:val="26"/>
          <w:szCs w:val="26"/>
          <w14:ligatures w14:val="none"/>
        </w:rPr>
        <w:t xml:space="preserve"> conducting baseline audits, collecting and analyzing subsequent data, and leading the task of flowcharting.</w:t>
      </w:r>
    </w:p>
    <w:p w14:paraId="76C22071"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b/>
          <w:bCs/>
          <w:color w:val="1B1B1B"/>
          <w:kern w:val="0"/>
          <w:sz w:val="26"/>
          <w:szCs w:val="26"/>
          <w14:ligatures w14:val="none"/>
        </w:rPr>
        <w:t>Leadership Team.</w:t>
      </w:r>
      <w:r w:rsidRPr="00E61A29">
        <w:rPr>
          <w:rFonts w:ascii="Source Sans Pro" w:eastAsia="Times New Roman" w:hAnsi="Source Sans Pro" w:cs="Times New Roman"/>
          <w:color w:val="1B1B1B"/>
          <w:kern w:val="0"/>
          <w:sz w:val="26"/>
          <w:szCs w:val="26"/>
          <w14:ligatures w14:val="none"/>
        </w:rPr>
        <w:t> The Leadership Team provides oversight for the medication reconciliation project. The leadership team should include Executive Sponsors, Project Sponsors, and Improvement Leaders. The characteristics, roles, and responsibilities include the following:</w:t>
      </w:r>
    </w:p>
    <w:p w14:paraId="10637927"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lastRenderedPageBreak/>
        <w:t>Executive Sponsor(s):</w:t>
      </w:r>
    </w:p>
    <w:p w14:paraId="532B886F" w14:textId="77777777" w:rsidR="00E61A29" w:rsidRPr="00E61A29" w:rsidRDefault="00E61A29" w:rsidP="00E61A29">
      <w:pPr>
        <w:numPr>
          <w:ilvl w:val="0"/>
          <w:numId w:val="12"/>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Member(s) of the senior management team (e.g., physician, nursing, and executive leaders in the organization).</w:t>
      </w:r>
    </w:p>
    <w:p w14:paraId="481DFE2A" w14:textId="77777777" w:rsidR="00E61A29" w:rsidRPr="00E61A29" w:rsidRDefault="00E61A29" w:rsidP="00E61A29">
      <w:pPr>
        <w:numPr>
          <w:ilvl w:val="0"/>
          <w:numId w:val="12"/>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Provide executive oversight.</w:t>
      </w:r>
    </w:p>
    <w:p w14:paraId="41AC640E" w14:textId="77777777" w:rsidR="00E61A29" w:rsidRPr="00E61A29" w:rsidRDefault="00E61A29" w:rsidP="00E61A29">
      <w:pPr>
        <w:numPr>
          <w:ilvl w:val="0"/>
          <w:numId w:val="12"/>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Provide guidance and accountability and endorse recommendations.</w:t>
      </w:r>
    </w:p>
    <w:p w14:paraId="0D873BEA" w14:textId="77777777" w:rsidR="00E61A29" w:rsidRPr="00E61A29" w:rsidRDefault="00E61A29" w:rsidP="00E61A29">
      <w:pPr>
        <w:numPr>
          <w:ilvl w:val="0"/>
          <w:numId w:val="12"/>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Identify and remove organizational barriers.</w:t>
      </w:r>
    </w:p>
    <w:p w14:paraId="181236C8" w14:textId="77777777" w:rsidR="00E61A29" w:rsidRPr="00E61A29" w:rsidRDefault="00E61A29" w:rsidP="00E61A29">
      <w:pPr>
        <w:numPr>
          <w:ilvl w:val="0"/>
          <w:numId w:val="12"/>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May represent inpatient and outpatient practice settings depending on the project's scope; representation from both settings may help bridge the gap during transitions from hospital to home.</w:t>
      </w:r>
    </w:p>
    <w:p w14:paraId="0DCC6808"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Project Sponsor(s):</w:t>
      </w:r>
    </w:p>
    <w:p w14:paraId="75BFB86B" w14:textId="77777777" w:rsidR="00E61A29" w:rsidRPr="00E61A29" w:rsidRDefault="00E61A29" w:rsidP="00E61A29">
      <w:pPr>
        <w:numPr>
          <w:ilvl w:val="0"/>
          <w:numId w:val="13"/>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Leader(s) from various disciplines such as the pharmacy director, nursing director, hospitalists, department chiefs, director of information systems, chair of the pharmacy and therapeutics committee, etc.</w:t>
      </w:r>
    </w:p>
    <w:p w14:paraId="5712E5F1" w14:textId="77777777" w:rsidR="00E61A29" w:rsidRPr="00E61A29" w:rsidRDefault="00E61A29" w:rsidP="00E61A29">
      <w:pPr>
        <w:numPr>
          <w:ilvl w:val="0"/>
          <w:numId w:val="13"/>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Provide support for a timely and successful implementation.</w:t>
      </w:r>
    </w:p>
    <w:p w14:paraId="0B0C3F2C" w14:textId="77777777" w:rsidR="00E61A29" w:rsidRPr="00E61A29" w:rsidRDefault="00E61A29" w:rsidP="00E61A29">
      <w:pPr>
        <w:numPr>
          <w:ilvl w:val="0"/>
          <w:numId w:val="13"/>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Provide insights from the perspective of the practices they represent.</w:t>
      </w:r>
    </w:p>
    <w:p w14:paraId="6FE02EAF" w14:textId="77777777" w:rsidR="00E61A29" w:rsidRPr="00E61A29" w:rsidRDefault="00E61A29" w:rsidP="00E61A29">
      <w:pPr>
        <w:numPr>
          <w:ilvl w:val="0"/>
          <w:numId w:val="13"/>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Remove discipline-specific barriers.</w:t>
      </w:r>
    </w:p>
    <w:p w14:paraId="066BD628" w14:textId="77777777" w:rsidR="00E61A29" w:rsidRPr="00E61A29" w:rsidRDefault="00E61A29" w:rsidP="00E61A29">
      <w:pPr>
        <w:numPr>
          <w:ilvl w:val="0"/>
          <w:numId w:val="13"/>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Approve final recommendations.</w:t>
      </w:r>
    </w:p>
    <w:p w14:paraId="72036344"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Improvement Leader(s):</w:t>
      </w:r>
    </w:p>
    <w:p w14:paraId="07042463" w14:textId="77777777" w:rsidR="00E61A29" w:rsidRPr="00E61A29" w:rsidRDefault="00E61A29" w:rsidP="00E61A29">
      <w:pPr>
        <w:numPr>
          <w:ilvl w:val="0"/>
          <w:numId w:val="14"/>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Possess operational and quality improvement expertise as well as patient safety and medication management knowledge to lead medication reconciliation efforts.</w:t>
      </w:r>
    </w:p>
    <w:p w14:paraId="44F4A708" w14:textId="77777777" w:rsidR="00E61A29" w:rsidRPr="00E61A29" w:rsidRDefault="00E61A29" w:rsidP="00E61A29">
      <w:pPr>
        <w:numPr>
          <w:ilvl w:val="0"/>
          <w:numId w:val="14"/>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Ensure project goals and training are met within established timeframes.</w:t>
      </w:r>
    </w:p>
    <w:p w14:paraId="78B8B92A" w14:textId="77777777" w:rsidR="00E61A29" w:rsidRPr="00E61A29" w:rsidRDefault="00E61A29" w:rsidP="00E61A29">
      <w:pPr>
        <w:numPr>
          <w:ilvl w:val="0"/>
          <w:numId w:val="14"/>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Help integrate operational changes into clinical workflow.</w:t>
      </w:r>
    </w:p>
    <w:p w14:paraId="61A4899A"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b/>
          <w:bCs/>
          <w:color w:val="1B1B1B"/>
          <w:kern w:val="0"/>
          <w:sz w:val="26"/>
          <w:szCs w:val="26"/>
          <w14:ligatures w14:val="none"/>
        </w:rPr>
        <w:t>Design Team.</w:t>
      </w:r>
      <w:r w:rsidRPr="00E61A29">
        <w:rPr>
          <w:rFonts w:ascii="Source Sans Pro" w:eastAsia="Times New Roman" w:hAnsi="Source Sans Pro" w:cs="Times New Roman"/>
          <w:color w:val="1B1B1B"/>
          <w:kern w:val="0"/>
          <w:sz w:val="26"/>
          <w:szCs w:val="26"/>
          <w14:ligatures w14:val="none"/>
        </w:rPr>
        <w:t> The Design Team will play an integral role in the development or redesign of the medication reconciliation process. When assembling this team, it is important to include individuals with actual knowledge of the current medication reconciliation process. The Design Team should be comprised of multidisciplinary members with a strong knowledge of current workflow, recognition of the problem, and buy-in for improvement. Members may include:</w:t>
      </w:r>
    </w:p>
    <w:p w14:paraId="003FB0D7" w14:textId="77777777" w:rsidR="00E61A29" w:rsidRPr="00E61A29" w:rsidRDefault="00E61A29" w:rsidP="00E61A29">
      <w:pPr>
        <w:numPr>
          <w:ilvl w:val="0"/>
          <w:numId w:val="15"/>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lastRenderedPageBreak/>
        <w:t>Physicians, nurses, pharmacists, discharge planners, and others representing areas of focus (e.g., inpatient units, outpatient clinics, procedural areas).</w:t>
      </w:r>
    </w:p>
    <w:p w14:paraId="266FDE0E" w14:textId="77777777" w:rsidR="00E61A29" w:rsidRPr="00E61A29" w:rsidRDefault="00E61A29" w:rsidP="00E61A29">
      <w:pPr>
        <w:numPr>
          <w:ilvl w:val="0"/>
          <w:numId w:val="15"/>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Representatives from information systems, the emergency department, and patient safety and quality departments.</w:t>
      </w:r>
    </w:p>
    <w:p w14:paraId="2CA69089" w14:textId="77777777" w:rsidR="00E61A29" w:rsidRPr="00E61A29" w:rsidRDefault="00E61A29" w:rsidP="00E61A29">
      <w:pPr>
        <w:numPr>
          <w:ilvl w:val="0"/>
          <w:numId w:val="15"/>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Patients, to ensure the design is approached from their perspective.</w:t>
      </w:r>
    </w:p>
    <w:p w14:paraId="0D03AAA5"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The Design Team's makeup may evolve over time as you work through the process and determine additional resource requirements.</w:t>
      </w:r>
    </w:p>
    <w:p w14:paraId="60B62B5F"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 xml:space="preserve">The tool "Questions to Ask When Developing the Design Team and Rationale" </w:t>
      </w:r>
      <w:proofErr w:type="gramStart"/>
      <w:r w:rsidRPr="00E61A29">
        <w:rPr>
          <w:rFonts w:ascii="Source Sans Pro" w:eastAsia="Times New Roman" w:hAnsi="Source Sans Pro" w:cs="Times New Roman"/>
          <w:color w:val="1B1B1B"/>
          <w:kern w:val="0"/>
          <w:sz w:val="26"/>
          <w:szCs w:val="26"/>
          <w14:ligatures w14:val="none"/>
        </w:rPr>
        <w:t>is located in</w:t>
      </w:r>
      <w:proofErr w:type="gramEnd"/>
      <w:r w:rsidRPr="00E61A29">
        <w:rPr>
          <w:rFonts w:ascii="Source Sans Pro" w:eastAsia="Times New Roman" w:hAnsi="Source Sans Pro" w:cs="Times New Roman"/>
          <w:color w:val="1B1B1B"/>
          <w:kern w:val="0"/>
          <w:sz w:val="26"/>
          <w:szCs w:val="26"/>
          <w14:ligatures w14:val="none"/>
        </w:rPr>
        <w:t xml:space="preserve"> the </w:t>
      </w:r>
      <w:hyperlink r:id="rId21" w:history="1">
        <w:r w:rsidRPr="00E61A29">
          <w:rPr>
            <w:rFonts w:ascii="Source Sans Pro" w:eastAsia="Times New Roman" w:hAnsi="Source Sans Pro" w:cs="Times New Roman"/>
            <w:color w:val="005B94"/>
            <w:kern w:val="0"/>
            <w:sz w:val="26"/>
            <w:szCs w:val="26"/>
            <w:u w:val="single"/>
            <w14:ligatures w14:val="none"/>
          </w:rPr>
          <w:t>Appendix</w:t>
        </w:r>
      </w:hyperlink>
      <w:r w:rsidRPr="00E61A29">
        <w:rPr>
          <w:rFonts w:ascii="Source Sans Pro" w:eastAsia="Times New Roman" w:hAnsi="Source Sans Pro" w:cs="Times New Roman"/>
          <w:color w:val="1B1B1B"/>
          <w:kern w:val="0"/>
          <w:sz w:val="26"/>
          <w:szCs w:val="26"/>
          <w14:ligatures w14:val="none"/>
        </w:rPr>
        <w:t>.</w:t>
      </w:r>
    </w:p>
    <w:p w14:paraId="47AAB487"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b/>
          <w:bCs/>
          <w:color w:val="1B1B1B"/>
          <w:kern w:val="0"/>
          <w:sz w:val="26"/>
          <w:szCs w:val="26"/>
          <w14:ligatures w14:val="none"/>
        </w:rPr>
        <w:t>Additional Stakeholders.</w:t>
      </w:r>
      <w:r w:rsidRPr="00E61A29">
        <w:rPr>
          <w:rFonts w:ascii="Source Sans Pro" w:eastAsia="Times New Roman" w:hAnsi="Source Sans Pro" w:cs="Times New Roman"/>
          <w:color w:val="1B1B1B"/>
          <w:kern w:val="0"/>
          <w:sz w:val="26"/>
          <w:szCs w:val="26"/>
          <w14:ligatures w14:val="none"/>
        </w:rPr>
        <w:t> Additional stakeholders who will be directly or indirectly involved with enforcement of the new or redesigned process once implemented should be engaged early on. Engagement of these key stakeholders is important to gain facility-wide support for the medication reconciliation project. Additional stakeholders in the facility may include:</w:t>
      </w:r>
    </w:p>
    <w:p w14:paraId="7ADC70C9" w14:textId="77777777" w:rsidR="00E61A29" w:rsidRPr="00E61A29" w:rsidRDefault="00E61A29" w:rsidP="00E61A29">
      <w:pPr>
        <w:numPr>
          <w:ilvl w:val="0"/>
          <w:numId w:val="16"/>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Managers or directors that oversee frontline staff to ensure final design is carried out.</w:t>
      </w:r>
    </w:p>
    <w:p w14:paraId="75DFD5BD" w14:textId="77777777" w:rsidR="00E61A29" w:rsidRPr="00E61A29" w:rsidRDefault="00E61A29" w:rsidP="00E61A29">
      <w:pPr>
        <w:numPr>
          <w:ilvl w:val="0"/>
          <w:numId w:val="16"/>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Department chiefs, chairs, and clinical program leaders overseeing physician participation in the design and implementation.</w:t>
      </w:r>
    </w:p>
    <w:p w14:paraId="2717A421" w14:textId="77777777" w:rsidR="00E61A29" w:rsidRPr="00E61A29" w:rsidRDefault="00E61A29" w:rsidP="00E61A29">
      <w:pPr>
        <w:numPr>
          <w:ilvl w:val="0"/>
          <w:numId w:val="16"/>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Leaders from medical records to ensure forms and documentation are consistent with hospital policies.</w:t>
      </w:r>
    </w:p>
    <w:p w14:paraId="51005231" w14:textId="77777777" w:rsidR="00E61A29" w:rsidRPr="00E61A29" w:rsidRDefault="00E61A29" w:rsidP="00E61A29">
      <w:pPr>
        <w:numPr>
          <w:ilvl w:val="0"/>
          <w:numId w:val="16"/>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Individuals overseeing quality, licensure, and accreditation to ensure the process meets regulatory requirements.</w:t>
      </w:r>
    </w:p>
    <w:p w14:paraId="145DF13A" w14:textId="77777777" w:rsidR="00E61A29" w:rsidRPr="00E61A29" w:rsidRDefault="00E61A29" w:rsidP="00E61A29">
      <w:pPr>
        <w:numPr>
          <w:ilvl w:val="0"/>
          <w:numId w:val="16"/>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Frontline staff, quality committees, patients, etc., that may require periodic communication and progress reports in preparation for implementation.</w:t>
      </w:r>
    </w:p>
    <w:p w14:paraId="72FC0639"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Establish a reporting mechanism to keep stakeholders informed on the team's progress. It will be easier to understand barriers from their perspectives and work to develop solutions early on than it will be much later during rollout and implementation.</w:t>
      </w:r>
    </w:p>
    <w:p w14:paraId="4987B5D6" w14:textId="77777777" w:rsidR="00E61A29" w:rsidRPr="00E61A29" w:rsidRDefault="00E61A29" w:rsidP="00E61A29">
      <w:pPr>
        <w:shd w:val="clear" w:color="auto" w:fill="FFFFFF"/>
        <w:spacing w:after="100" w:afterAutospacing="1" w:line="312" w:lineRule="atLeast"/>
        <w:outlineLvl w:val="2"/>
        <w:rPr>
          <w:rFonts w:ascii="Arial" w:eastAsia="Times New Roman" w:hAnsi="Arial" w:cs="Arial"/>
          <w:b/>
          <w:bCs/>
          <w:color w:val="1B1B1B"/>
          <w:kern w:val="0"/>
          <w:sz w:val="36"/>
          <w:szCs w:val="36"/>
          <w14:ligatures w14:val="none"/>
        </w:rPr>
      </w:pPr>
      <w:r w:rsidRPr="00E61A29">
        <w:rPr>
          <w:rFonts w:ascii="Arial" w:eastAsia="Times New Roman" w:hAnsi="Arial" w:cs="Arial"/>
          <w:b/>
          <w:bCs/>
          <w:color w:val="1B1B1B"/>
          <w:kern w:val="0"/>
          <w:sz w:val="36"/>
          <w:szCs w:val="36"/>
          <w14:ligatures w14:val="none"/>
        </w:rPr>
        <w:t>Step 2: Create a Flowchart of the Current Medication Reconciliation Process</w:t>
      </w:r>
    </w:p>
    <w:p w14:paraId="7657B99E"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lastRenderedPageBreak/>
        <w:t>The second step in creating an infrastructure to support improvement of the medication reconciliation process is to create a flowchart of the current process. A flowchart serves as a guide for developing the charter (go to </w:t>
      </w:r>
      <w:hyperlink r:id="rId22" w:anchor="step3" w:history="1">
        <w:r w:rsidRPr="00E61A29">
          <w:rPr>
            <w:rFonts w:ascii="Source Sans Pro" w:eastAsia="Times New Roman" w:hAnsi="Source Sans Pro" w:cs="Times New Roman"/>
            <w:color w:val="005B94"/>
            <w:kern w:val="0"/>
            <w:sz w:val="26"/>
            <w:szCs w:val="26"/>
            <w:u w:val="single"/>
            <w14:ligatures w14:val="none"/>
          </w:rPr>
          <w:t>Step 3</w:t>
        </w:r>
      </w:hyperlink>
      <w:r w:rsidRPr="00E61A29">
        <w:rPr>
          <w:rFonts w:ascii="Source Sans Pro" w:eastAsia="Times New Roman" w:hAnsi="Source Sans Pro" w:cs="Times New Roman"/>
          <w:color w:val="1B1B1B"/>
          <w:kern w:val="0"/>
          <w:sz w:val="26"/>
          <w:szCs w:val="26"/>
          <w14:ligatures w14:val="none"/>
        </w:rPr>
        <w:t>). In addition, it may help you determine whether to design a new process or redesign the existing medication reconciliation process.</w:t>
      </w:r>
    </w:p>
    <w:p w14:paraId="1E78CB4D"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A flowchart outlines current workflow and helps identify:</w:t>
      </w:r>
    </w:p>
    <w:p w14:paraId="1B1C07D7" w14:textId="77777777" w:rsidR="00E61A29" w:rsidRPr="00E61A29" w:rsidRDefault="00E61A29" w:rsidP="00E61A29">
      <w:pPr>
        <w:numPr>
          <w:ilvl w:val="0"/>
          <w:numId w:val="17"/>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Successful medication reconciliation practices.</w:t>
      </w:r>
    </w:p>
    <w:p w14:paraId="1D6585CB" w14:textId="77777777" w:rsidR="00E61A29" w:rsidRPr="00E61A29" w:rsidRDefault="00E61A29" w:rsidP="00E61A29">
      <w:pPr>
        <w:numPr>
          <w:ilvl w:val="0"/>
          <w:numId w:val="17"/>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Current roles and responsibilities for each discipline at admission, transfer, and discharge.</w:t>
      </w:r>
    </w:p>
    <w:p w14:paraId="5ACA898C" w14:textId="77777777" w:rsidR="00E61A29" w:rsidRPr="00E61A29" w:rsidRDefault="00E61A29" w:rsidP="00E61A29">
      <w:pPr>
        <w:numPr>
          <w:ilvl w:val="0"/>
          <w:numId w:val="17"/>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Potential failures.</w:t>
      </w:r>
    </w:p>
    <w:p w14:paraId="270BA0AB" w14:textId="77777777" w:rsidR="00E61A29" w:rsidRPr="00E61A29" w:rsidRDefault="00E61A29" w:rsidP="00E61A29">
      <w:pPr>
        <w:numPr>
          <w:ilvl w:val="0"/>
          <w:numId w:val="17"/>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Unnecessary redundancies and gaps in the process.</w:t>
      </w:r>
    </w:p>
    <w:p w14:paraId="041F8DAD"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A flowchart of current practices can be modified during the design or redesign to highlight:</w:t>
      </w:r>
    </w:p>
    <w:p w14:paraId="498AD940" w14:textId="77777777" w:rsidR="00E61A29" w:rsidRPr="00E61A29" w:rsidRDefault="00E61A29" w:rsidP="00E61A29">
      <w:pPr>
        <w:numPr>
          <w:ilvl w:val="0"/>
          <w:numId w:val="18"/>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Elimination of unnecessary steps (i.e., simplification of process).</w:t>
      </w:r>
    </w:p>
    <w:p w14:paraId="6EBD36F3" w14:textId="77777777" w:rsidR="00E61A29" w:rsidRPr="00E61A29" w:rsidRDefault="00E61A29" w:rsidP="00E61A29">
      <w:pPr>
        <w:numPr>
          <w:ilvl w:val="0"/>
          <w:numId w:val="18"/>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Defining roles and responsibilities in policy and procedure.</w:t>
      </w:r>
    </w:p>
    <w:p w14:paraId="6BF20C26" w14:textId="77777777" w:rsidR="00E61A29" w:rsidRPr="00E61A29" w:rsidRDefault="00E61A29" w:rsidP="00E61A29">
      <w:pPr>
        <w:numPr>
          <w:ilvl w:val="0"/>
          <w:numId w:val="18"/>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Standardization across disciplines and/or practice settings.</w:t>
      </w:r>
    </w:p>
    <w:p w14:paraId="3FC90205" w14:textId="77777777" w:rsidR="00E61A29" w:rsidRPr="00E61A29" w:rsidRDefault="00E61A29" w:rsidP="00E61A29">
      <w:pPr>
        <w:numPr>
          <w:ilvl w:val="0"/>
          <w:numId w:val="18"/>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How new design steps integrate into existing workflow.</w:t>
      </w:r>
    </w:p>
    <w:p w14:paraId="1D5F492B"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The tool "Develop a Flowchart of Your Current Medication Reconciliation Process" in the </w:t>
      </w:r>
      <w:hyperlink r:id="rId23" w:history="1">
        <w:r w:rsidRPr="00E61A29">
          <w:rPr>
            <w:rFonts w:ascii="Source Sans Pro" w:eastAsia="Times New Roman" w:hAnsi="Source Sans Pro" w:cs="Times New Roman"/>
            <w:color w:val="005B94"/>
            <w:kern w:val="0"/>
            <w:sz w:val="26"/>
            <w:szCs w:val="26"/>
            <w:u w:val="single"/>
            <w14:ligatures w14:val="none"/>
          </w:rPr>
          <w:t>Appendix</w:t>
        </w:r>
      </w:hyperlink>
      <w:r w:rsidRPr="00E61A29">
        <w:rPr>
          <w:rFonts w:ascii="Source Sans Pro" w:eastAsia="Times New Roman" w:hAnsi="Source Sans Pro" w:cs="Times New Roman"/>
          <w:color w:val="1B1B1B"/>
          <w:kern w:val="0"/>
          <w:sz w:val="26"/>
          <w:szCs w:val="26"/>
          <w14:ligatures w14:val="none"/>
        </w:rPr>
        <w:t> provides questions to guide you in developing the flow diagram for medication reconciliation at each critical handoff point: admission, intra-facility transfer, and discharge.</w:t>
      </w:r>
    </w:p>
    <w:p w14:paraId="6B86B7CE" w14:textId="77777777" w:rsidR="00E61A29" w:rsidRPr="00E61A29" w:rsidRDefault="00E61A29" w:rsidP="00E61A29">
      <w:pPr>
        <w:shd w:val="clear" w:color="auto" w:fill="FFFFFF"/>
        <w:spacing w:after="100" w:afterAutospacing="1" w:line="312" w:lineRule="atLeast"/>
        <w:outlineLvl w:val="3"/>
        <w:rPr>
          <w:rFonts w:ascii="Arial" w:eastAsia="Times New Roman" w:hAnsi="Arial" w:cs="Arial"/>
          <w:b/>
          <w:bCs/>
          <w:color w:val="1B1B1B"/>
          <w:kern w:val="0"/>
          <w:sz w:val="30"/>
          <w:szCs w:val="30"/>
          <w14:ligatures w14:val="none"/>
        </w:rPr>
      </w:pPr>
      <w:r w:rsidRPr="00E61A29">
        <w:rPr>
          <w:rFonts w:ascii="Arial" w:eastAsia="Times New Roman" w:hAnsi="Arial" w:cs="Arial"/>
          <w:b/>
          <w:bCs/>
          <w:color w:val="1B1B1B"/>
          <w:kern w:val="0"/>
          <w:sz w:val="30"/>
          <w:szCs w:val="30"/>
          <w14:ligatures w14:val="none"/>
        </w:rPr>
        <w:t>Benefits of Creating a Flowchart </w:t>
      </w:r>
      <w:bookmarkStart w:id="2" w:name="fig1"/>
      <w:bookmarkStart w:id="3" w:name="fig2"/>
      <w:bookmarkEnd w:id="2"/>
      <w:r w:rsidRPr="00E61A29">
        <w:rPr>
          <w:rFonts w:ascii="Arial" w:eastAsia="Times New Roman" w:hAnsi="Arial" w:cs="Arial"/>
          <w:b/>
          <w:bCs/>
          <w:color w:val="1B1B1B"/>
          <w:kern w:val="0"/>
          <w:sz w:val="30"/>
          <w:szCs w:val="30"/>
          <w14:ligatures w14:val="none"/>
        </w:rPr>
        <w:t> </w:t>
      </w:r>
      <w:bookmarkStart w:id="4" w:name="step3"/>
      <w:bookmarkEnd w:id="3"/>
      <w:r w:rsidRPr="00E61A29">
        <w:rPr>
          <w:rFonts w:ascii="Arial" w:eastAsia="Times New Roman" w:hAnsi="Arial" w:cs="Arial"/>
          <w:b/>
          <w:bCs/>
          <w:color w:val="1B1B1B"/>
          <w:kern w:val="0"/>
          <w:sz w:val="30"/>
          <w:szCs w:val="30"/>
          <w14:ligatures w14:val="none"/>
        </w:rPr>
        <w:t> </w:t>
      </w:r>
      <w:bookmarkEnd w:id="4"/>
    </w:p>
    <w:p w14:paraId="2A465B17"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After creating a flowchart of current practices, facilities reported the following findings:</w:t>
      </w:r>
    </w:p>
    <w:p w14:paraId="68214191" w14:textId="77777777" w:rsidR="00E61A29" w:rsidRPr="00E61A29" w:rsidRDefault="00E61A29" w:rsidP="00E61A29">
      <w:pPr>
        <w:numPr>
          <w:ilvl w:val="0"/>
          <w:numId w:val="19"/>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Multiple disciplines obtained independent medication histories from the patient.</w:t>
      </w:r>
    </w:p>
    <w:p w14:paraId="5EDD4B10" w14:textId="77777777" w:rsidR="00E61A29" w:rsidRPr="00E61A29" w:rsidRDefault="00E61A29" w:rsidP="00E61A29">
      <w:pPr>
        <w:numPr>
          <w:ilvl w:val="0"/>
          <w:numId w:val="19"/>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Each independent medication history was documented in various discipline-dependent sections throughout the medical record.</w:t>
      </w:r>
    </w:p>
    <w:p w14:paraId="6A959A86" w14:textId="77777777" w:rsidR="00E61A29" w:rsidRPr="00E61A29" w:rsidRDefault="00E61A29" w:rsidP="00E61A29">
      <w:pPr>
        <w:numPr>
          <w:ilvl w:val="0"/>
          <w:numId w:val="19"/>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lastRenderedPageBreak/>
        <w:t>No prompts were in place to cross-reference information or documentation.</w:t>
      </w:r>
    </w:p>
    <w:p w14:paraId="0855EE3C" w14:textId="77777777" w:rsidR="00E61A29" w:rsidRPr="00E61A29" w:rsidRDefault="00E61A29" w:rsidP="00E61A29">
      <w:pPr>
        <w:numPr>
          <w:ilvl w:val="0"/>
          <w:numId w:val="19"/>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Multiple medication histories were often conflicting.</w:t>
      </w:r>
    </w:p>
    <w:p w14:paraId="63A12852"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The sample process maps at </w:t>
      </w:r>
      <w:hyperlink r:id="rId24" w:history="1">
        <w:r w:rsidRPr="00E61A29">
          <w:rPr>
            <w:rFonts w:ascii="Source Sans Pro" w:eastAsia="Times New Roman" w:hAnsi="Source Sans Pro" w:cs="Times New Roman"/>
            <w:color w:val="005B94"/>
            <w:kern w:val="0"/>
            <w:sz w:val="26"/>
            <w:szCs w:val="26"/>
            <w:u w:val="single"/>
            <w14:ligatures w14:val="none"/>
          </w:rPr>
          <w:t>Figure 1</w:t>
        </w:r>
      </w:hyperlink>
      <w:r w:rsidRPr="00E61A29">
        <w:rPr>
          <w:rFonts w:ascii="Source Sans Pro" w:eastAsia="Times New Roman" w:hAnsi="Source Sans Pro" w:cs="Times New Roman"/>
          <w:color w:val="1B1B1B"/>
          <w:kern w:val="0"/>
          <w:sz w:val="26"/>
          <w:szCs w:val="26"/>
          <w14:ligatures w14:val="none"/>
        </w:rPr>
        <w:t> and </w:t>
      </w:r>
      <w:hyperlink r:id="rId25" w:history="1">
        <w:r w:rsidRPr="00E61A29">
          <w:rPr>
            <w:rFonts w:ascii="Source Sans Pro" w:eastAsia="Times New Roman" w:hAnsi="Source Sans Pro" w:cs="Times New Roman"/>
            <w:color w:val="005B94"/>
            <w:kern w:val="0"/>
            <w:sz w:val="26"/>
            <w:szCs w:val="26"/>
            <w:u w:val="single"/>
            <w14:ligatures w14:val="none"/>
          </w:rPr>
          <w:t>Figure 2</w:t>
        </w:r>
      </w:hyperlink>
      <w:r w:rsidRPr="00E61A29">
        <w:rPr>
          <w:rFonts w:ascii="Source Sans Pro" w:eastAsia="Times New Roman" w:hAnsi="Source Sans Pro" w:cs="Times New Roman"/>
          <w:color w:val="1B1B1B"/>
          <w:kern w:val="0"/>
          <w:sz w:val="26"/>
          <w:szCs w:val="26"/>
          <w14:ligatures w14:val="none"/>
        </w:rPr>
        <w:t> demonstrate how flowcharting the process can highlight and identify redundancies as well as gaps in the medication reconciliation process.</w:t>
      </w:r>
    </w:p>
    <w:p w14:paraId="3894B84B" w14:textId="77777777" w:rsidR="00E61A29" w:rsidRPr="00E61A29" w:rsidRDefault="00E61A29" w:rsidP="00E61A29">
      <w:pPr>
        <w:shd w:val="clear" w:color="auto" w:fill="FFFFFF"/>
        <w:spacing w:after="100" w:afterAutospacing="1" w:line="312" w:lineRule="atLeast"/>
        <w:outlineLvl w:val="2"/>
        <w:rPr>
          <w:rFonts w:ascii="Arial" w:eastAsia="Times New Roman" w:hAnsi="Arial" w:cs="Arial"/>
          <w:b/>
          <w:bCs/>
          <w:color w:val="1B1B1B"/>
          <w:kern w:val="0"/>
          <w:sz w:val="36"/>
          <w:szCs w:val="36"/>
          <w14:ligatures w14:val="none"/>
        </w:rPr>
      </w:pPr>
      <w:r w:rsidRPr="00E61A29">
        <w:rPr>
          <w:rFonts w:ascii="Arial" w:eastAsia="Times New Roman" w:hAnsi="Arial" w:cs="Arial"/>
          <w:b/>
          <w:bCs/>
          <w:color w:val="1B1B1B"/>
          <w:kern w:val="0"/>
          <w:sz w:val="36"/>
          <w:szCs w:val="36"/>
          <w14:ligatures w14:val="none"/>
        </w:rPr>
        <w:t>Step 3: Develop a Project Charter or Work Plan for Improvements</w:t>
      </w:r>
    </w:p>
    <w:p w14:paraId="3C6EDB4E"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A project charter provides a summary and high-level roadmap for your work. The importance of utilizing a charter throughout the project is often underappreciated, but its use is paramount in keeping the project focused, and it provides a work plan for the design team. The charter will be a dynamic document that encompasses the following elements:</w:t>
      </w:r>
    </w:p>
    <w:p w14:paraId="03E012CF" w14:textId="77777777" w:rsidR="00E61A29" w:rsidRPr="00E61A29" w:rsidRDefault="00E61A29" w:rsidP="00E61A29">
      <w:pPr>
        <w:numPr>
          <w:ilvl w:val="0"/>
          <w:numId w:val="20"/>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Problem statement.</w:t>
      </w:r>
    </w:p>
    <w:p w14:paraId="463E5003" w14:textId="77777777" w:rsidR="00E61A29" w:rsidRPr="00E61A29" w:rsidRDefault="00E61A29" w:rsidP="00E61A29">
      <w:pPr>
        <w:numPr>
          <w:ilvl w:val="0"/>
          <w:numId w:val="20"/>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Goals and objectives.</w:t>
      </w:r>
    </w:p>
    <w:p w14:paraId="5F90617F" w14:textId="77777777" w:rsidR="00E61A29" w:rsidRPr="00E61A29" w:rsidRDefault="00E61A29" w:rsidP="00E61A29">
      <w:pPr>
        <w:numPr>
          <w:ilvl w:val="0"/>
          <w:numId w:val="20"/>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Regulatory and accreditation requirements.</w:t>
      </w:r>
    </w:p>
    <w:p w14:paraId="40F9403F" w14:textId="77777777" w:rsidR="00E61A29" w:rsidRPr="00E61A29" w:rsidRDefault="00E61A29" w:rsidP="00E61A29">
      <w:pPr>
        <w:numPr>
          <w:ilvl w:val="0"/>
          <w:numId w:val="20"/>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Project scope.</w:t>
      </w:r>
    </w:p>
    <w:p w14:paraId="35227513" w14:textId="77777777" w:rsidR="00E61A29" w:rsidRPr="00E61A29" w:rsidRDefault="00E61A29" w:rsidP="00E61A29">
      <w:pPr>
        <w:numPr>
          <w:ilvl w:val="0"/>
          <w:numId w:val="20"/>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System capabilities/deliverables.</w:t>
      </w:r>
    </w:p>
    <w:p w14:paraId="05F2189F" w14:textId="77777777" w:rsidR="00E61A29" w:rsidRPr="00E61A29" w:rsidRDefault="00E61A29" w:rsidP="00E61A29">
      <w:pPr>
        <w:numPr>
          <w:ilvl w:val="0"/>
          <w:numId w:val="20"/>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Resources needed for a successful project.</w:t>
      </w:r>
    </w:p>
    <w:p w14:paraId="33A74083" w14:textId="77777777" w:rsidR="00E61A29" w:rsidRPr="00E61A29" w:rsidRDefault="00E61A29" w:rsidP="00E61A29">
      <w:pPr>
        <w:numPr>
          <w:ilvl w:val="0"/>
          <w:numId w:val="20"/>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Project milestones (achievements throughout the project) and timeline.</w:t>
      </w:r>
    </w:p>
    <w:p w14:paraId="3262B6A2"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Go to "Developing Your Charter" in the </w:t>
      </w:r>
      <w:hyperlink r:id="rId26" w:history="1">
        <w:r w:rsidRPr="00E61A29">
          <w:rPr>
            <w:rFonts w:ascii="Source Sans Pro" w:eastAsia="Times New Roman" w:hAnsi="Source Sans Pro" w:cs="Times New Roman"/>
            <w:color w:val="005B94"/>
            <w:kern w:val="0"/>
            <w:sz w:val="26"/>
            <w:szCs w:val="26"/>
            <w:u w:val="single"/>
            <w14:ligatures w14:val="none"/>
          </w:rPr>
          <w:t>Appendix</w:t>
        </w:r>
      </w:hyperlink>
      <w:r w:rsidRPr="00E61A29">
        <w:rPr>
          <w:rFonts w:ascii="Source Sans Pro" w:eastAsia="Times New Roman" w:hAnsi="Source Sans Pro" w:cs="Times New Roman"/>
          <w:color w:val="1B1B1B"/>
          <w:kern w:val="0"/>
          <w:sz w:val="26"/>
          <w:szCs w:val="26"/>
          <w14:ligatures w14:val="none"/>
        </w:rPr>
        <w:t> for a template charter that can be used as a starting point for the project.</w:t>
      </w:r>
    </w:p>
    <w:p w14:paraId="100544EA"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b/>
          <w:bCs/>
          <w:color w:val="1B1B1B"/>
          <w:kern w:val="0"/>
          <w:sz w:val="26"/>
          <w:szCs w:val="26"/>
          <w14:ligatures w14:val="none"/>
        </w:rPr>
        <w:t>Problem Statement.</w:t>
      </w:r>
      <w:r w:rsidRPr="00E61A29">
        <w:rPr>
          <w:rFonts w:ascii="Source Sans Pro" w:eastAsia="Times New Roman" w:hAnsi="Source Sans Pro" w:cs="Times New Roman"/>
          <w:color w:val="1B1B1B"/>
          <w:kern w:val="0"/>
          <w:sz w:val="26"/>
          <w:szCs w:val="26"/>
          <w14:ligatures w14:val="none"/>
        </w:rPr>
        <w:t> A problem statement is a concise description of the issues that need to be addressed by the team and should be presented to them or created by them. A good problem statement should consider the nature of the problem and how it impacts patient care.</w:t>
      </w:r>
    </w:p>
    <w:p w14:paraId="3531733D"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b/>
          <w:bCs/>
          <w:color w:val="1B1B1B"/>
          <w:kern w:val="0"/>
          <w:sz w:val="26"/>
          <w:szCs w:val="26"/>
          <w14:ligatures w14:val="none"/>
        </w:rPr>
        <w:t>Goals and Objectives.</w:t>
      </w:r>
      <w:r w:rsidRPr="00E61A29">
        <w:rPr>
          <w:rFonts w:ascii="Source Sans Pro" w:eastAsia="Times New Roman" w:hAnsi="Source Sans Pro" w:cs="Times New Roman"/>
          <w:color w:val="1B1B1B"/>
          <w:kern w:val="0"/>
          <w:sz w:val="26"/>
          <w:szCs w:val="26"/>
          <w14:ligatures w14:val="none"/>
        </w:rPr>
        <w:t xml:space="preserve"> The team should establish goals and objectives that directly relate to the above problem statement. This component of the charter will keep the team focused on the strategies that were determined by the design team to improve </w:t>
      </w:r>
      <w:r w:rsidRPr="00E61A29">
        <w:rPr>
          <w:rFonts w:ascii="Source Sans Pro" w:eastAsia="Times New Roman" w:hAnsi="Source Sans Pro" w:cs="Times New Roman"/>
          <w:color w:val="1B1B1B"/>
          <w:kern w:val="0"/>
          <w:sz w:val="26"/>
          <w:szCs w:val="26"/>
          <w14:ligatures w14:val="none"/>
        </w:rPr>
        <w:lastRenderedPageBreak/>
        <w:t>medication reconciliation. Goals should be specific, measurable, attainable, realistic, and timely. A template for recording goals and objectives is available in the </w:t>
      </w:r>
      <w:hyperlink r:id="rId27" w:history="1">
        <w:r w:rsidRPr="00E61A29">
          <w:rPr>
            <w:rFonts w:ascii="Source Sans Pro" w:eastAsia="Times New Roman" w:hAnsi="Source Sans Pro" w:cs="Times New Roman"/>
            <w:color w:val="005B94"/>
            <w:kern w:val="0"/>
            <w:sz w:val="26"/>
            <w:szCs w:val="26"/>
            <w:u w:val="single"/>
            <w14:ligatures w14:val="none"/>
          </w:rPr>
          <w:t>Appendix</w:t>
        </w:r>
      </w:hyperlink>
      <w:r w:rsidRPr="00E61A29">
        <w:rPr>
          <w:rFonts w:ascii="Source Sans Pro" w:eastAsia="Times New Roman" w:hAnsi="Source Sans Pro" w:cs="Times New Roman"/>
          <w:color w:val="1B1B1B"/>
          <w:kern w:val="0"/>
          <w:sz w:val="26"/>
          <w:szCs w:val="26"/>
          <w14:ligatures w14:val="none"/>
        </w:rPr>
        <w:t>.</w:t>
      </w:r>
    </w:p>
    <w:p w14:paraId="451EC7C6"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b/>
          <w:bCs/>
          <w:color w:val="1B1B1B"/>
          <w:kern w:val="0"/>
          <w:sz w:val="26"/>
          <w:szCs w:val="26"/>
          <w14:ligatures w14:val="none"/>
        </w:rPr>
        <w:t>Regulatory and Accreditation Requirements.</w:t>
      </w:r>
      <w:r w:rsidRPr="00E61A29">
        <w:rPr>
          <w:rFonts w:ascii="Source Sans Pro" w:eastAsia="Times New Roman" w:hAnsi="Source Sans Pro" w:cs="Times New Roman"/>
          <w:color w:val="1B1B1B"/>
          <w:kern w:val="0"/>
          <w:sz w:val="26"/>
          <w:szCs w:val="26"/>
          <w14:ligatures w14:val="none"/>
        </w:rPr>
        <w:t> While developing the medication reconciliation charter, medication policies and procedures and regulatory and accreditation requirements must be considered. Ensure that:</w:t>
      </w:r>
    </w:p>
    <w:p w14:paraId="48E2BDE3" w14:textId="77777777" w:rsidR="00E61A29" w:rsidRPr="00E61A29" w:rsidRDefault="00E61A29" w:rsidP="00E61A29">
      <w:pPr>
        <w:numPr>
          <w:ilvl w:val="0"/>
          <w:numId w:val="21"/>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Individuals responsible for accreditation and licensure in your organization are integrated into the team.</w:t>
      </w:r>
    </w:p>
    <w:p w14:paraId="3D9B87D4" w14:textId="77777777" w:rsidR="00E61A29" w:rsidRPr="00E61A29" w:rsidRDefault="00E61A29" w:rsidP="00E61A29">
      <w:pPr>
        <w:numPr>
          <w:ilvl w:val="0"/>
          <w:numId w:val="21"/>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The process is designed to meet these requirements.</w:t>
      </w:r>
    </w:p>
    <w:p w14:paraId="12B6AC1B" w14:textId="77777777" w:rsidR="00E61A29" w:rsidRPr="00E61A29" w:rsidRDefault="00E61A29" w:rsidP="00E61A29">
      <w:pPr>
        <w:numPr>
          <w:ilvl w:val="0"/>
          <w:numId w:val="21"/>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The design plan incorporates practice settings affected by these criteria.</w:t>
      </w:r>
    </w:p>
    <w:p w14:paraId="04F5445B"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b/>
          <w:bCs/>
          <w:color w:val="1B1B1B"/>
          <w:kern w:val="0"/>
          <w:sz w:val="26"/>
          <w:szCs w:val="26"/>
          <w14:ligatures w14:val="none"/>
        </w:rPr>
        <w:t>Project Scope.</w:t>
      </w:r>
      <w:r w:rsidRPr="00E61A29">
        <w:rPr>
          <w:rFonts w:ascii="Source Sans Pro" w:eastAsia="Times New Roman" w:hAnsi="Source Sans Pro" w:cs="Times New Roman"/>
          <w:color w:val="1B1B1B"/>
          <w:kern w:val="0"/>
          <w:sz w:val="26"/>
          <w:szCs w:val="26"/>
          <w14:ligatures w14:val="none"/>
        </w:rPr>
        <w:t xml:space="preserve"> Before determining the scope of the project, you may find it helpful to create a list of all areas within your facility where patients receive medications. Create a list of practice settings that administer </w:t>
      </w:r>
      <w:proofErr w:type="gramStart"/>
      <w:r w:rsidRPr="00E61A29">
        <w:rPr>
          <w:rFonts w:ascii="Source Sans Pro" w:eastAsia="Times New Roman" w:hAnsi="Source Sans Pro" w:cs="Times New Roman"/>
          <w:color w:val="1B1B1B"/>
          <w:kern w:val="0"/>
          <w:sz w:val="26"/>
          <w:szCs w:val="26"/>
          <w14:ligatures w14:val="none"/>
        </w:rPr>
        <w:t>medications, and</w:t>
      </w:r>
      <w:proofErr w:type="gramEnd"/>
      <w:r w:rsidRPr="00E61A29">
        <w:rPr>
          <w:rFonts w:ascii="Source Sans Pro" w:eastAsia="Times New Roman" w:hAnsi="Source Sans Pro" w:cs="Times New Roman"/>
          <w:color w:val="1B1B1B"/>
          <w:kern w:val="0"/>
          <w:sz w:val="26"/>
          <w:szCs w:val="26"/>
          <w14:ligatures w14:val="none"/>
        </w:rPr>
        <w:t xml:space="preserve"> organize it by the type of patients they serve (inpatient, outpatient, both) and whether they admit and/or discharge patients to assist in prioritization.</w:t>
      </w:r>
    </w:p>
    <w:p w14:paraId="504C018B"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"Determining the Scope of the Project," located in the </w:t>
      </w:r>
      <w:hyperlink r:id="rId28" w:history="1">
        <w:r w:rsidRPr="00E61A29">
          <w:rPr>
            <w:rFonts w:ascii="Source Sans Pro" w:eastAsia="Times New Roman" w:hAnsi="Source Sans Pro" w:cs="Times New Roman"/>
            <w:color w:val="005B94"/>
            <w:kern w:val="0"/>
            <w:sz w:val="26"/>
            <w:szCs w:val="26"/>
            <w:u w:val="single"/>
            <w14:ligatures w14:val="none"/>
          </w:rPr>
          <w:t>Appendix</w:t>
        </w:r>
      </w:hyperlink>
      <w:r w:rsidRPr="00E61A29">
        <w:rPr>
          <w:rFonts w:ascii="Source Sans Pro" w:eastAsia="Times New Roman" w:hAnsi="Source Sans Pro" w:cs="Times New Roman"/>
          <w:color w:val="1B1B1B"/>
          <w:kern w:val="0"/>
          <w:sz w:val="26"/>
          <w:szCs w:val="26"/>
          <w14:ligatures w14:val="none"/>
        </w:rPr>
        <w:t>, will assist in defining the scope of the project.</w:t>
      </w:r>
    </w:p>
    <w:p w14:paraId="0EE40AF7"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Additional questions to consider when determining the scope of the medication reconciliation project include:</w:t>
      </w:r>
    </w:p>
    <w:p w14:paraId="5D85548F" w14:textId="77777777" w:rsidR="00E61A29" w:rsidRPr="00E61A29" w:rsidRDefault="00E61A29" w:rsidP="00E61A29">
      <w:pPr>
        <w:numPr>
          <w:ilvl w:val="0"/>
          <w:numId w:val="22"/>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Should the project encompass the entire facility, one practice setting, or several departments?</w:t>
      </w:r>
    </w:p>
    <w:p w14:paraId="5F09DFF1" w14:textId="77777777" w:rsidR="00E61A29" w:rsidRPr="00E61A29" w:rsidRDefault="00E61A29" w:rsidP="00E61A29">
      <w:pPr>
        <w:numPr>
          <w:ilvl w:val="0"/>
          <w:numId w:val="22"/>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Should the project focus on one specific area of identified risk (i.e., inpatient only) or more?</w:t>
      </w:r>
    </w:p>
    <w:p w14:paraId="18E11345" w14:textId="77777777" w:rsidR="00E61A29" w:rsidRPr="00E61A29" w:rsidRDefault="00E61A29" w:rsidP="00E61A29">
      <w:pPr>
        <w:numPr>
          <w:ilvl w:val="0"/>
          <w:numId w:val="22"/>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Should the project focus on one service or unit at a time or more?</w:t>
      </w:r>
    </w:p>
    <w:p w14:paraId="0DACF511" w14:textId="77777777" w:rsidR="00E61A29" w:rsidRPr="00E61A29" w:rsidRDefault="00E61A29" w:rsidP="00E61A29">
      <w:pPr>
        <w:numPr>
          <w:ilvl w:val="0"/>
          <w:numId w:val="22"/>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Should the focus start with an admission process then move to discharge or should your project concentrate on both at the same time?</w:t>
      </w:r>
    </w:p>
    <w:p w14:paraId="3F424D17" w14:textId="77777777" w:rsidR="00E61A29" w:rsidRPr="00E61A29" w:rsidRDefault="00E61A29" w:rsidP="00E61A29">
      <w:pPr>
        <w:numPr>
          <w:ilvl w:val="0"/>
          <w:numId w:val="22"/>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Should the initial scope include patients admitted through the emergency department or from procedural areas, such as ambulatory surgery?</w:t>
      </w:r>
    </w:p>
    <w:p w14:paraId="6D9442DF"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These questions can guide the development of the scope and charter of the project based on the individuality of the facility and areas with the greatest need.</w:t>
      </w:r>
    </w:p>
    <w:p w14:paraId="6BD644D8"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b/>
          <w:bCs/>
          <w:color w:val="1B1B1B"/>
          <w:kern w:val="0"/>
          <w:sz w:val="26"/>
          <w:szCs w:val="26"/>
          <w14:ligatures w14:val="none"/>
        </w:rPr>
        <w:lastRenderedPageBreak/>
        <w:t>System Capabilities/Deliverables.</w:t>
      </w:r>
      <w:r w:rsidRPr="00E61A29">
        <w:rPr>
          <w:rFonts w:ascii="Source Sans Pro" w:eastAsia="Times New Roman" w:hAnsi="Source Sans Pro" w:cs="Times New Roman"/>
          <w:color w:val="1B1B1B"/>
          <w:kern w:val="0"/>
          <w:sz w:val="26"/>
          <w:szCs w:val="26"/>
          <w14:ligatures w14:val="none"/>
        </w:rPr>
        <w:t> The team should understand system level capabilities and/or barriers that may impact the project and use the charter to communicate this information to all team members. An example of this may be leveraging the charter for communicating upcoming conversions from a paper medical record to an EHR or EHR updates and how the medication reconciliation process integrates into these conversations and necessary steps to be taken to make this happen. The charter also outlines upcoming deliverable dates to keep the medication reconciliation project on track.</w:t>
      </w:r>
    </w:p>
    <w:p w14:paraId="161BF899"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b/>
          <w:bCs/>
          <w:color w:val="1B1B1B"/>
          <w:kern w:val="0"/>
          <w:sz w:val="26"/>
          <w:szCs w:val="26"/>
          <w14:ligatures w14:val="none"/>
        </w:rPr>
        <w:t>Resources Needed for a Successful Project.</w:t>
      </w:r>
      <w:r w:rsidRPr="00E61A29">
        <w:rPr>
          <w:rFonts w:ascii="Source Sans Pro" w:eastAsia="Times New Roman" w:hAnsi="Source Sans Pro" w:cs="Times New Roman"/>
          <w:color w:val="1B1B1B"/>
          <w:kern w:val="0"/>
          <w:sz w:val="26"/>
          <w:szCs w:val="26"/>
          <w14:ligatures w14:val="none"/>
        </w:rPr>
        <w:t> As you begin the journey to improve your facility's medication reconciliation process, you should address resource support with the leadership team from the beginning of the project. Depending on the area of focus, process design or redesign plans, budget constraints, and resource availability, it is crucial to think through each discipline's role (currently and ideally), current workflow practices, and how medication reconciliation can be better integrated in a more efficient, effective manner. For example, for pre-scheduled surgeries that will result in a planned admission post-operatively, is there a better way to obtain a patient's current medication information during presurgical workups and medical clearance appointments, rather than trying to gather this type of information on the day the patient presents for surgery, when they may be anxious about their procedure?</w:t>
      </w:r>
    </w:p>
    <w:p w14:paraId="4A1CCF3C"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b/>
          <w:bCs/>
          <w:color w:val="1B1B1B"/>
          <w:kern w:val="0"/>
          <w:sz w:val="26"/>
          <w:szCs w:val="26"/>
          <w14:ligatures w14:val="none"/>
        </w:rPr>
        <w:t>Project Milestones and Timeline.</w:t>
      </w:r>
      <w:r w:rsidRPr="00E61A29">
        <w:rPr>
          <w:rFonts w:ascii="Source Sans Pro" w:eastAsia="Times New Roman" w:hAnsi="Source Sans Pro" w:cs="Times New Roman"/>
          <w:color w:val="1B1B1B"/>
          <w:kern w:val="0"/>
          <w:sz w:val="26"/>
          <w:szCs w:val="26"/>
          <w14:ligatures w14:val="none"/>
        </w:rPr>
        <w:t> Milestones are frequently used to monitor progress. Broad project milestones can be developed initially and modified as the team begins to better understand the issues at hand. Reviewing project timelines and milestones achieved also keeps the team energized and focused as progress is made.</w:t>
      </w:r>
    </w:p>
    <w:p w14:paraId="4E471FD7" w14:textId="77777777" w:rsidR="00E61A29" w:rsidRPr="00E61A29" w:rsidRDefault="00E61A29" w:rsidP="00E61A29">
      <w:pPr>
        <w:shd w:val="clear" w:color="auto" w:fill="FFFFFF"/>
        <w:spacing w:after="100" w:afterAutospacing="1" w:line="312" w:lineRule="atLeast"/>
        <w:outlineLvl w:val="2"/>
        <w:rPr>
          <w:rFonts w:ascii="Arial" w:eastAsia="Times New Roman" w:hAnsi="Arial" w:cs="Arial"/>
          <w:b/>
          <w:bCs/>
          <w:color w:val="1B1B1B"/>
          <w:kern w:val="0"/>
          <w:sz w:val="36"/>
          <w:szCs w:val="36"/>
          <w14:ligatures w14:val="none"/>
        </w:rPr>
      </w:pPr>
      <w:r w:rsidRPr="00E61A29">
        <w:rPr>
          <w:rFonts w:ascii="Arial" w:eastAsia="Times New Roman" w:hAnsi="Arial" w:cs="Arial"/>
          <w:b/>
          <w:bCs/>
          <w:color w:val="1B1B1B"/>
          <w:kern w:val="0"/>
          <w:sz w:val="36"/>
          <w:szCs w:val="36"/>
          <w14:ligatures w14:val="none"/>
        </w:rPr>
        <w:t>Step 4: Establish a Measurement Strategy</w:t>
      </w:r>
    </w:p>
    <w:p w14:paraId="199D5C4A"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 xml:space="preserve">At the start of the project, create a list of data that will be needed and the departments and people who should </w:t>
      </w:r>
      <w:proofErr w:type="gramStart"/>
      <w:r w:rsidRPr="00E61A29">
        <w:rPr>
          <w:rFonts w:ascii="Source Sans Pro" w:eastAsia="Times New Roman" w:hAnsi="Source Sans Pro" w:cs="Times New Roman"/>
          <w:color w:val="1B1B1B"/>
          <w:kern w:val="0"/>
          <w:sz w:val="26"/>
          <w:szCs w:val="26"/>
          <w14:ligatures w14:val="none"/>
        </w:rPr>
        <w:t>be in charge of</w:t>
      </w:r>
      <w:proofErr w:type="gramEnd"/>
      <w:r w:rsidRPr="00E61A29">
        <w:rPr>
          <w:rFonts w:ascii="Source Sans Pro" w:eastAsia="Times New Roman" w:hAnsi="Source Sans Pro" w:cs="Times New Roman"/>
          <w:color w:val="1B1B1B"/>
          <w:kern w:val="0"/>
          <w:sz w:val="26"/>
          <w:szCs w:val="26"/>
          <w14:ligatures w14:val="none"/>
        </w:rPr>
        <w:t xml:space="preserve"> developing the measurement strategy. For organizations with an established EHR, inviting a representative from the facility's Information Technology (IT) department from the beginning of project planning is strongly advised. Share with the IT representative the list of data needed to drive decisions regarding the needs of the facility and staff, or to understand where to direct the project attention first to explore ways to leverage your EHR to collect this type of </w:t>
      </w:r>
      <w:r w:rsidRPr="00E61A29">
        <w:rPr>
          <w:rFonts w:ascii="Source Sans Pro" w:eastAsia="Times New Roman" w:hAnsi="Source Sans Pro" w:cs="Times New Roman"/>
          <w:color w:val="1B1B1B"/>
          <w:kern w:val="0"/>
          <w:sz w:val="26"/>
          <w:szCs w:val="26"/>
          <w14:ligatures w14:val="none"/>
        </w:rPr>
        <w:lastRenderedPageBreak/>
        <w:t>information electronically. Data that can serve as a starting point could be the facility's readmission rates (the Finance department usually creates these data), adverse drug events (ADEs) for the facility (the Pharmacy department usually collects these data), or data specific to the facility's current process for medication reconciliation. Consider using the audit tool and measures that are used in this toolkit. </w:t>
      </w:r>
      <w:hyperlink r:id="rId29" w:history="1">
        <w:r w:rsidRPr="00E61A29">
          <w:rPr>
            <w:rFonts w:ascii="Source Sans Pro" w:eastAsia="Times New Roman" w:hAnsi="Source Sans Pro" w:cs="Times New Roman"/>
            <w:color w:val="005B94"/>
            <w:kern w:val="0"/>
            <w:sz w:val="26"/>
            <w:szCs w:val="26"/>
            <w:u w:val="single"/>
            <w14:ligatures w14:val="none"/>
          </w:rPr>
          <w:t>Chapter 6</w:t>
        </w:r>
      </w:hyperlink>
      <w:r w:rsidRPr="00E61A29">
        <w:rPr>
          <w:rFonts w:ascii="Source Sans Pro" w:eastAsia="Times New Roman" w:hAnsi="Source Sans Pro" w:cs="Times New Roman"/>
          <w:color w:val="1B1B1B"/>
          <w:kern w:val="0"/>
          <w:sz w:val="26"/>
          <w:szCs w:val="26"/>
          <w14:ligatures w14:val="none"/>
        </w:rPr>
        <w:t> reviews project metrics in greater detail.</w:t>
      </w:r>
    </w:p>
    <w:p w14:paraId="44EA4CE9"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 xml:space="preserve">Collecting baseline data will allow you to determine where to focus the project initially. Your initial proposal should include baseline data you collected </w:t>
      </w:r>
      <w:proofErr w:type="gramStart"/>
      <w:r w:rsidRPr="00E61A29">
        <w:rPr>
          <w:rFonts w:ascii="Source Sans Pro" w:eastAsia="Times New Roman" w:hAnsi="Source Sans Pro" w:cs="Times New Roman"/>
          <w:color w:val="1B1B1B"/>
          <w:kern w:val="0"/>
          <w:sz w:val="26"/>
          <w:szCs w:val="26"/>
          <w14:ligatures w14:val="none"/>
        </w:rPr>
        <w:t>in order to</w:t>
      </w:r>
      <w:proofErr w:type="gramEnd"/>
      <w:r w:rsidRPr="00E61A29">
        <w:rPr>
          <w:rFonts w:ascii="Source Sans Pro" w:eastAsia="Times New Roman" w:hAnsi="Source Sans Pro" w:cs="Times New Roman"/>
          <w:color w:val="1B1B1B"/>
          <w:kern w:val="0"/>
          <w:sz w:val="26"/>
          <w:szCs w:val="26"/>
          <w14:ligatures w14:val="none"/>
        </w:rPr>
        <w:t xml:space="preserve"> strengthen and support the business case you present to senior leadership.</w:t>
      </w:r>
    </w:p>
    <w:p w14:paraId="6B95722A"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Integrating team members who can assist with performance measurement will allow each team member to carry out their role in the project with ease.</w:t>
      </w:r>
    </w:p>
    <w:p w14:paraId="5F49A832" w14:textId="77777777" w:rsidR="00E61A29" w:rsidRPr="00E61A29" w:rsidRDefault="00E61A29" w:rsidP="00E61A29">
      <w:pPr>
        <w:shd w:val="clear" w:color="auto" w:fill="FFFFFF"/>
        <w:spacing w:after="100" w:afterAutospacing="1" w:line="312" w:lineRule="atLeast"/>
        <w:outlineLvl w:val="2"/>
        <w:rPr>
          <w:rFonts w:ascii="Arial" w:eastAsia="Times New Roman" w:hAnsi="Arial" w:cs="Arial"/>
          <w:b/>
          <w:bCs/>
          <w:color w:val="1B1B1B"/>
          <w:kern w:val="0"/>
          <w:sz w:val="36"/>
          <w:szCs w:val="36"/>
          <w14:ligatures w14:val="none"/>
        </w:rPr>
      </w:pPr>
      <w:r w:rsidRPr="00E61A29">
        <w:rPr>
          <w:rFonts w:ascii="Arial" w:eastAsia="Times New Roman" w:hAnsi="Arial" w:cs="Arial"/>
          <w:b/>
          <w:bCs/>
          <w:color w:val="1B1B1B"/>
          <w:kern w:val="0"/>
          <w:sz w:val="36"/>
          <w:szCs w:val="36"/>
          <w14:ligatures w14:val="none"/>
        </w:rPr>
        <w:t>Chapter 2 Lessons Learned</w:t>
      </w:r>
    </w:p>
    <w:p w14:paraId="27C6786E"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Lessons learned from staff of facilities that have implemented MATCH and facilities that received technical assistance on MATCH through the AHRQ QIO Learning Network include:</w:t>
      </w:r>
    </w:p>
    <w:p w14:paraId="0406EDE1" w14:textId="77777777" w:rsidR="00E61A29" w:rsidRPr="00E61A29" w:rsidRDefault="00E61A29" w:rsidP="00E61A29">
      <w:pPr>
        <w:numPr>
          <w:ilvl w:val="0"/>
          <w:numId w:val="23"/>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A multidisciplinary team fostered a facility-wide team environment for process improvements. Frontline staff felt more "ownership" and involvement in the change.</w:t>
      </w:r>
    </w:p>
    <w:p w14:paraId="18E08305" w14:textId="77777777" w:rsidR="00E61A29" w:rsidRPr="00E61A29" w:rsidRDefault="00E61A29" w:rsidP="00E61A29">
      <w:pPr>
        <w:numPr>
          <w:ilvl w:val="0"/>
          <w:numId w:val="23"/>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Facilities that developed a project charter, articulated a problem statement, and set goals and objectives were better prepared to stay on task with the project.</w:t>
      </w:r>
    </w:p>
    <w:p w14:paraId="780F05B8" w14:textId="77777777" w:rsidR="00E61A29" w:rsidRPr="00E61A29" w:rsidRDefault="00E61A29" w:rsidP="00E61A29">
      <w:pPr>
        <w:numPr>
          <w:ilvl w:val="0"/>
          <w:numId w:val="23"/>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Using the project charter to provide periodic reports to the leadership team supported the dynamic use of the document.</w:t>
      </w:r>
    </w:p>
    <w:p w14:paraId="735B58CE" w14:textId="77777777" w:rsidR="00E61A29" w:rsidRPr="00E61A29" w:rsidRDefault="00E61A29" w:rsidP="00E61A29">
      <w:pPr>
        <w:numPr>
          <w:ilvl w:val="0"/>
          <w:numId w:val="23"/>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Including a review of the project charter at each project meeting kept the team on task.</w:t>
      </w:r>
    </w:p>
    <w:p w14:paraId="126AC582" w14:textId="77777777" w:rsidR="00E61A29" w:rsidRPr="00E61A29" w:rsidRDefault="00E61A29" w:rsidP="00E61A29">
      <w:pPr>
        <w:numPr>
          <w:ilvl w:val="0"/>
          <w:numId w:val="23"/>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 xml:space="preserve">Process mapping is a critical element for success. Project participants found that walking through the medication reconciliation process and confirming each step with frontline staff was an eye-opening experience. Many </w:t>
      </w:r>
      <w:proofErr w:type="gramStart"/>
      <w:r w:rsidRPr="00E61A29">
        <w:rPr>
          <w:rFonts w:ascii="Source Sans Pro" w:eastAsia="Times New Roman" w:hAnsi="Source Sans Pro" w:cs="Times New Roman"/>
          <w:color w:val="1B1B1B"/>
          <w:kern w:val="0"/>
          <w:sz w:val="26"/>
          <w:szCs w:val="26"/>
          <w14:ligatures w14:val="none"/>
        </w:rPr>
        <w:t>times</w:t>
      </w:r>
      <w:proofErr w:type="gramEnd"/>
      <w:r w:rsidRPr="00E61A29">
        <w:rPr>
          <w:rFonts w:ascii="Source Sans Pro" w:eastAsia="Times New Roman" w:hAnsi="Source Sans Pro" w:cs="Times New Roman"/>
          <w:color w:val="1B1B1B"/>
          <w:kern w:val="0"/>
          <w:sz w:val="26"/>
          <w:szCs w:val="26"/>
          <w14:ligatures w14:val="none"/>
        </w:rPr>
        <w:t xml:space="preserve"> the process that is on paper is not what is being done on the ward, and identification of workarounds is pivotal.</w:t>
      </w:r>
    </w:p>
    <w:p w14:paraId="2527CAA5" w14:textId="77777777" w:rsidR="00E61A29" w:rsidRPr="00E61A29" w:rsidRDefault="00E61A29" w:rsidP="00E61A29">
      <w:pPr>
        <w:numPr>
          <w:ilvl w:val="0"/>
          <w:numId w:val="23"/>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lastRenderedPageBreak/>
        <w:t>Participants who used this toolkit found staff workarounds of a process were not necessarily negative findings.</w:t>
      </w:r>
    </w:p>
    <w:p w14:paraId="0295DB2F" w14:textId="77777777" w:rsidR="00E61A29" w:rsidRPr="00E61A29" w:rsidRDefault="00E61A29" w:rsidP="00E61A29">
      <w:pPr>
        <w:numPr>
          <w:ilvl w:val="0"/>
          <w:numId w:val="23"/>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Determining the size or scope of the project should be done early in the planning stage. Keeping the initial project focus reasonable in size and scope is pivotal to the success of the project. Broad scale efforts consume many resources and can make it difficult to secure and maintain leadership support. Implementing a successful project on a limited scale often leads to a larger effort.</w:t>
      </w:r>
    </w:p>
    <w:p w14:paraId="4A06593D" w14:textId="77777777" w:rsidR="00E61A29" w:rsidRPr="00E61A29" w:rsidRDefault="00E61A29" w:rsidP="00E61A29">
      <w:pPr>
        <w:numPr>
          <w:ilvl w:val="0"/>
          <w:numId w:val="23"/>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Measurement of baseline data was a necessary and crucial element of the project. This helped identify areas of focus, explored depth of issues, and provided the team with a realistic idea of the improvements they were proposing.</w:t>
      </w:r>
    </w:p>
    <w:p w14:paraId="709A57B8" w14:textId="77777777" w:rsidR="00E61A29" w:rsidRPr="00E61A29" w:rsidRDefault="00E61A29" w:rsidP="00E61A29">
      <w:pPr>
        <w:spacing w:after="0" w:line="240" w:lineRule="auto"/>
        <w:rPr>
          <w:rFonts w:ascii="Times New Roman" w:eastAsia="Times New Roman" w:hAnsi="Times New Roman" w:cs="Times New Roman"/>
          <w:kern w:val="0"/>
          <w14:ligatures w14:val="none"/>
        </w:rPr>
      </w:pPr>
    </w:p>
    <w:p w14:paraId="25535B15" w14:textId="77777777" w:rsidR="00E61A29" w:rsidRPr="00E61A29" w:rsidRDefault="00E61A29" w:rsidP="00E61A29">
      <w:pPr>
        <w:shd w:val="clear" w:color="auto" w:fill="FFFFFF"/>
        <w:spacing w:after="100" w:afterAutospacing="1" w:line="312" w:lineRule="atLeast"/>
        <w:outlineLvl w:val="1"/>
        <w:rPr>
          <w:rFonts w:ascii="Arial" w:eastAsia="Times New Roman" w:hAnsi="Arial" w:cs="Arial"/>
          <w:b/>
          <w:bCs/>
          <w:color w:val="1B1B1B"/>
          <w:kern w:val="0"/>
          <w:sz w:val="45"/>
          <w:szCs w:val="45"/>
          <w14:ligatures w14:val="none"/>
        </w:rPr>
      </w:pPr>
      <w:r w:rsidRPr="00E61A29">
        <w:rPr>
          <w:rFonts w:ascii="Arial" w:eastAsia="Times New Roman" w:hAnsi="Arial" w:cs="Arial"/>
          <w:b/>
          <w:bCs/>
          <w:color w:val="1B1B1B"/>
          <w:kern w:val="0"/>
          <w:sz w:val="45"/>
          <w:szCs w:val="45"/>
          <w14:ligatures w14:val="none"/>
        </w:rPr>
        <w:t>Chapter 3. Developing Change: Designing the Medication Reconciliation Process</w:t>
      </w:r>
    </w:p>
    <w:p w14:paraId="3CE12658"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Many organizations are uncertain about how to proceed with designing a workable solution for medication reconciliation. This chapter provides helpful information and tools for designing or redesigning a medication reconciliation process including:</w:t>
      </w:r>
    </w:p>
    <w:p w14:paraId="2488E333" w14:textId="77777777" w:rsidR="00E61A29" w:rsidRPr="00E61A29" w:rsidRDefault="00E61A29" w:rsidP="00E61A29">
      <w:pPr>
        <w:numPr>
          <w:ilvl w:val="0"/>
          <w:numId w:val="24"/>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Guiding principles for designing a successful medication reconciliation process.</w:t>
      </w:r>
    </w:p>
    <w:p w14:paraId="3280DE37" w14:textId="77777777" w:rsidR="00E61A29" w:rsidRPr="00E61A29" w:rsidRDefault="00E61A29" w:rsidP="00E61A29">
      <w:pPr>
        <w:numPr>
          <w:ilvl w:val="0"/>
          <w:numId w:val="24"/>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"One Source of Truth."</w:t>
      </w:r>
    </w:p>
    <w:p w14:paraId="14D9B0C9" w14:textId="77777777" w:rsidR="00E61A29" w:rsidRPr="00E61A29" w:rsidRDefault="00E61A29" w:rsidP="00E61A29">
      <w:pPr>
        <w:numPr>
          <w:ilvl w:val="0"/>
          <w:numId w:val="24"/>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Defining roles and responsibilities for medication reconciliation.</w:t>
      </w:r>
    </w:p>
    <w:p w14:paraId="7E5FC976" w14:textId="77777777" w:rsidR="00E61A29" w:rsidRPr="00E61A29" w:rsidRDefault="00E61A29" w:rsidP="00E61A29">
      <w:pPr>
        <w:numPr>
          <w:ilvl w:val="0"/>
          <w:numId w:val="24"/>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Integrating medication reconciliation into existing workflow.</w:t>
      </w:r>
    </w:p>
    <w:p w14:paraId="3BC0A7C8" w14:textId="77777777" w:rsidR="00E61A29" w:rsidRPr="00E61A29" w:rsidRDefault="00E61A29" w:rsidP="00E61A29">
      <w:pPr>
        <w:numPr>
          <w:ilvl w:val="0"/>
          <w:numId w:val="24"/>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Flowcharting the design or redesign for medication reconciliation.</w:t>
      </w:r>
    </w:p>
    <w:p w14:paraId="68F17D7E" w14:textId="77777777" w:rsidR="00E61A29" w:rsidRPr="00E61A29" w:rsidRDefault="00E61A29" w:rsidP="00E61A29">
      <w:pPr>
        <w:numPr>
          <w:ilvl w:val="0"/>
          <w:numId w:val="24"/>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Designing the process—considerations for various practice settings.</w:t>
      </w:r>
    </w:p>
    <w:p w14:paraId="136842D0" w14:textId="77777777" w:rsidR="00E61A29" w:rsidRPr="00E61A29" w:rsidRDefault="00E61A29" w:rsidP="00E61A29">
      <w:pPr>
        <w:numPr>
          <w:ilvl w:val="0"/>
          <w:numId w:val="24"/>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Examples of electronic, paper-based, or hybrid (electronic plus paper-based) systems.</w:t>
      </w:r>
    </w:p>
    <w:p w14:paraId="21D7D897" w14:textId="77777777" w:rsidR="00E61A29" w:rsidRPr="00E61A29" w:rsidRDefault="00E61A29" w:rsidP="00E61A29">
      <w:pPr>
        <w:shd w:val="clear" w:color="auto" w:fill="FFFFFF"/>
        <w:spacing w:after="100" w:afterAutospacing="1" w:line="312" w:lineRule="atLeast"/>
        <w:outlineLvl w:val="2"/>
        <w:rPr>
          <w:rFonts w:ascii="Arial" w:eastAsia="Times New Roman" w:hAnsi="Arial" w:cs="Arial"/>
          <w:b/>
          <w:bCs/>
          <w:color w:val="1B1B1B"/>
          <w:kern w:val="0"/>
          <w:sz w:val="36"/>
          <w:szCs w:val="36"/>
          <w14:ligatures w14:val="none"/>
        </w:rPr>
      </w:pPr>
      <w:r w:rsidRPr="00E61A29">
        <w:rPr>
          <w:rFonts w:ascii="Arial" w:eastAsia="Times New Roman" w:hAnsi="Arial" w:cs="Arial"/>
          <w:b/>
          <w:bCs/>
          <w:color w:val="1B1B1B"/>
          <w:kern w:val="0"/>
          <w:sz w:val="36"/>
          <w:szCs w:val="36"/>
          <w14:ligatures w14:val="none"/>
        </w:rPr>
        <w:t>Guiding Principles for Designing a Successful Medication Reconciliation Process</w:t>
      </w:r>
    </w:p>
    <w:p w14:paraId="709CE714"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lastRenderedPageBreak/>
        <w:t>These essential principles should be considered as you design the medication reconciliation process:</w:t>
      </w:r>
    </w:p>
    <w:p w14:paraId="4E59DC62" w14:textId="77777777" w:rsidR="00E61A29" w:rsidRPr="00E61A29" w:rsidRDefault="00E61A29" w:rsidP="00E61A29">
      <w:pPr>
        <w:numPr>
          <w:ilvl w:val="0"/>
          <w:numId w:val="25"/>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Develop a single medication list ("One Source of Truth"), shared by all disciplines for documenting the patient's current medications.</w:t>
      </w:r>
    </w:p>
    <w:p w14:paraId="686867A7" w14:textId="77777777" w:rsidR="00E61A29" w:rsidRPr="00E61A29" w:rsidRDefault="00E61A29" w:rsidP="00E61A29">
      <w:pPr>
        <w:numPr>
          <w:ilvl w:val="0"/>
          <w:numId w:val="25"/>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Clearly define roles and responsibilities for each discipline involved in medication reconciliation.</w:t>
      </w:r>
    </w:p>
    <w:p w14:paraId="085D5986" w14:textId="77777777" w:rsidR="00E61A29" w:rsidRPr="00E61A29" w:rsidRDefault="00E61A29" w:rsidP="00E61A29">
      <w:pPr>
        <w:numPr>
          <w:ilvl w:val="0"/>
          <w:numId w:val="25"/>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 xml:space="preserve">Standardize and simplify the medication reconciliation process throughout the </w:t>
      </w:r>
      <w:proofErr w:type="gramStart"/>
      <w:r w:rsidRPr="00E61A29">
        <w:rPr>
          <w:rFonts w:ascii="Source Sans Pro" w:eastAsia="Times New Roman" w:hAnsi="Source Sans Pro" w:cs="Times New Roman"/>
          <w:color w:val="1B1B1B"/>
          <w:kern w:val="0"/>
          <w:sz w:val="26"/>
          <w:szCs w:val="26"/>
          <w14:ligatures w14:val="none"/>
        </w:rPr>
        <w:t>organization, and</w:t>
      </w:r>
      <w:proofErr w:type="gramEnd"/>
      <w:r w:rsidRPr="00E61A29">
        <w:rPr>
          <w:rFonts w:ascii="Source Sans Pro" w:eastAsia="Times New Roman" w:hAnsi="Source Sans Pro" w:cs="Times New Roman"/>
          <w:color w:val="1B1B1B"/>
          <w:kern w:val="0"/>
          <w:sz w:val="26"/>
          <w:szCs w:val="26"/>
          <w14:ligatures w14:val="none"/>
        </w:rPr>
        <w:t xml:space="preserve"> eliminate unnecessary redundancies (the flowchart of the current process can help you identify these redundancies).</w:t>
      </w:r>
    </w:p>
    <w:p w14:paraId="004013B8" w14:textId="77777777" w:rsidR="00E61A29" w:rsidRPr="00E61A29" w:rsidRDefault="00E61A29" w:rsidP="00E61A29">
      <w:pPr>
        <w:numPr>
          <w:ilvl w:val="0"/>
          <w:numId w:val="25"/>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Make the right thing to do the easiest thing to do within the patterns of normal practice.</w:t>
      </w:r>
    </w:p>
    <w:p w14:paraId="35412980" w14:textId="77777777" w:rsidR="00E61A29" w:rsidRPr="00E61A29" w:rsidRDefault="00E61A29" w:rsidP="00E61A29">
      <w:pPr>
        <w:numPr>
          <w:ilvl w:val="0"/>
          <w:numId w:val="25"/>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Develop effective prompts or reminders for consistent behavior if true forcing functions (i.e., required reconciliation step presented to the physician during admission order entry within an electronic health record [EHR] are not possible.</w:t>
      </w:r>
    </w:p>
    <w:p w14:paraId="1FE1DB0F" w14:textId="77777777" w:rsidR="00E61A29" w:rsidRPr="00E61A29" w:rsidRDefault="00E61A29" w:rsidP="00E61A29">
      <w:pPr>
        <w:numPr>
          <w:ilvl w:val="0"/>
          <w:numId w:val="25"/>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Educate patients and their families or caregivers on medication reconciliation and the important role they play in the process.</w:t>
      </w:r>
    </w:p>
    <w:p w14:paraId="369DA238" w14:textId="77777777" w:rsidR="00E61A29" w:rsidRPr="00E61A29" w:rsidRDefault="00E61A29" w:rsidP="00E61A29">
      <w:pPr>
        <w:numPr>
          <w:ilvl w:val="0"/>
          <w:numId w:val="25"/>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Ensure process design meets all pertinent local laws or regulatory requirements. Linking medication reconciliation to other strategic goals (e.g., heart failure publicly reported process of care measures related to discharge instructions on medications) and/or other initiatives (e.g., a hospital project working on improving patient satisfaction related to pain management or patient communication regarding medications) when appropriate can also strengthen the importance of this process.</w:t>
      </w:r>
    </w:p>
    <w:p w14:paraId="58651B07" w14:textId="77777777" w:rsidR="00E61A29" w:rsidRPr="00E61A29" w:rsidRDefault="00E61A29" w:rsidP="00E61A29">
      <w:pPr>
        <w:shd w:val="clear" w:color="auto" w:fill="FFFFFF"/>
        <w:spacing w:after="100" w:afterAutospacing="1" w:line="312" w:lineRule="atLeast"/>
        <w:outlineLvl w:val="2"/>
        <w:rPr>
          <w:rFonts w:ascii="Arial" w:eastAsia="Times New Roman" w:hAnsi="Arial" w:cs="Arial"/>
          <w:b/>
          <w:bCs/>
          <w:color w:val="1B1B1B"/>
          <w:kern w:val="0"/>
          <w:sz w:val="36"/>
          <w:szCs w:val="36"/>
          <w14:ligatures w14:val="none"/>
        </w:rPr>
      </w:pPr>
      <w:r w:rsidRPr="00E61A29">
        <w:rPr>
          <w:rFonts w:ascii="Arial" w:eastAsia="Times New Roman" w:hAnsi="Arial" w:cs="Arial"/>
          <w:b/>
          <w:bCs/>
          <w:color w:val="1B1B1B"/>
          <w:kern w:val="0"/>
          <w:sz w:val="36"/>
          <w:szCs w:val="36"/>
          <w14:ligatures w14:val="none"/>
        </w:rPr>
        <w:t>"One Source of Truth"</w:t>
      </w:r>
    </w:p>
    <w:p w14:paraId="39CACFD5"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Medication reconciliation process design should center on the concept of a single list to document patient's current medications. This will be referred to as "one source of truth." This list should be shared and utilized by all physicians, nurses, pharmacists, and others caring for the patient.</w:t>
      </w:r>
    </w:p>
    <w:p w14:paraId="3493F49F" w14:textId="77777777" w:rsidR="00E61A29" w:rsidRPr="00E61A29" w:rsidRDefault="00E61A29" w:rsidP="00E61A29">
      <w:pPr>
        <w:numPr>
          <w:ilvl w:val="0"/>
          <w:numId w:val="26"/>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All disciplines caring for the patient should be working from the same medication list, regardless of the format (electronic or paper-based).</w:t>
      </w:r>
    </w:p>
    <w:p w14:paraId="2B1C543A" w14:textId="77777777" w:rsidR="00E61A29" w:rsidRPr="00E61A29" w:rsidRDefault="00E61A29" w:rsidP="00E61A29">
      <w:pPr>
        <w:numPr>
          <w:ilvl w:val="0"/>
          <w:numId w:val="26"/>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The list should be centrally located and easily visible within the patient's medical record.</w:t>
      </w:r>
    </w:p>
    <w:p w14:paraId="78D7EE16" w14:textId="77777777" w:rsidR="00E61A29" w:rsidRPr="00E61A29" w:rsidRDefault="00E61A29" w:rsidP="00E61A29">
      <w:pPr>
        <w:numPr>
          <w:ilvl w:val="0"/>
          <w:numId w:val="26"/>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lastRenderedPageBreak/>
        <w:t xml:space="preserve">This list becomes the reference point for ordering decisions and reconciliation, screening medications to be administered during a procedure/episode of </w:t>
      </w:r>
      <w:proofErr w:type="gramStart"/>
      <w:r w:rsidRPr="00E61A29">
        <w:rPr>
          <w:rFonts w:ascii="Source Sans Pro" w:eastAsia="Times New Roman" w:hAnsi="Source Sans Pro" w:cs="Times New Roman"/>
          <w:color w:val="1B1B1B"/>
          <w:kern w:val="0"/>
          <w:sz w:val="26"/>
          <w:szCs w:val="26"/>
          <w14:ligatures w14:val="none"/>
        </w:rPr>
        <w:t>care, and</w:t>
      </w:r>
      <w:proofErr w:type="gramEnd"/>
      <w:r w:rsidRPr="00E61A29">
        <w:rPr>
          <w:rFonts w:ascii="Source Sans Pro" w:eastAsia="Times New Roman" w:hAnsi="Source Sans Pro" w:cs="Times New Roman"/>
          <w:color w:val="1B1B1B"/>
          <w:kern w:val="0"/>
          <w:sz w:val="26"/>
          <w:szCs w:val="26"/>
          <w14:ligatures w14:val="none"/>
        </w:rPr>
        <w:t xml:space="preserve"> determining the patient's medication regimen upon discharge. </w:t>
      </w:r>
      <w:bookmarkStart w:id="5" w:name="fig3"/>
      <w:bookmarkStart w:id="6" w:name="fig4"/>
      <w:bookmarkEnd w:id="5"/>
      <w:r w:rsidRPr="00E61A29">
        <w:rPr>
          <w:rFonts w:ascii="Source Sans Pro" w:eastAsia="Times New Roman" w:hAnsi="Source Sans Pro" w:cs="Times New Roman"/>
          <w:color w:val="1B1B1B"/>
          <w:kern w:val="0"/>
          <w:sz w:val="26"/>
          <w:szCs w:val="26"/>
          <w14:ligatures w14:val="none"/>
        </w:rPr>
        <w:t> </w:t>
      </w:r>
      <w:bookmarkEnd w:id="6"/>
    </w:p>
    <w:p w14:paraId="0ED5CAF7" w14:textId="77777777" w:rsidR="00E61A29" w:rsidRPr="00E61A29" w:rsidRDefault="00E61A29" w:rsidP="00E61A29">
      <w:pPr>
        <w:numPr>
          <w:ilvl w:val="0"/>
          <w:numId w:val="26"/>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Each discipline should have the ability to update the home medications as new or more reliable information becomes available.</w:t>
      </w:r>
    </w:p>
    <w:p w14:paraId="3AD81AB5" w14:textId="77777777" w:rsidR="00E61A29" w:rsidRPr="00E61A29" w:rsidRDefault="00E61A29" w:rsidP="00E61A29">
      <w:pPr>
        <w:numPr>
          <w:ilvl w:val="0"/>
          <w:numId w:val="26"/>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In a paper-based format, old or modified information could be crossed out, new information can be added, and each change can be dated, timed, and signed.</w:t>
      </w:r>
    </w:p>
    <w:p w14:paraId="0F855558" w14:textId="77777777" w:rsidR="00E61A29" w:rsidRPr="00E61A29" w:rsidRDefault="00E61A29" w:rsidP="00E61A29">
      <w:pPr>
        <w:numPr>
          <w:ilvl w:val="0"/>
          <w:numId w:val="26"/>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In an electronic system, changes would be date and time stamped, and the prescriber's name automatically captured. If the patient's medication list requires changes at discharge, updated information will remain stored for review and modification for future admissions.</w:t>
      </w:r>
    </w:p>
    <w:p w14:paraId="0927BE4E"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Samples of "One Source of Truth" to document and verify a patient's current medications upon admission to the organization are in </w:t>
      </w:r>
      <w:hyperlink r:id="rId30" w:history="1">
        <w:r w:rsidRPr="00E61A29">
          <w:rPr>
            <w:rFonts w:ascii="Source Sans Pro" w:eastAsia="Times New Roman" w:hAnsi="Source Sans Pro" w:cs="Times New Roman"/>
            <w:color w:val="005B94"/>
            <w:kern w:val="0"/>
            <w:sz w:val="26"/>
            <w:szCs w:val="26"/>
            <w:u w:val="single"/>
            <w14:ligatures w14:val="none"/>
          </w:rPr>
          <w:t>Figures 3</w:t>
        </w:r>
      </w:hyperlink>
      <w:r w:rsidRPr="00E61A29">
        <w:rPr>
          <w:rFonts w:ascii="Source Sans Pro" w:eastAsia="Times New Roman" w:hAnsi="Source Sans Pro" w:cs="Times New Roman"/>
          <w:color w:val="1B1B1B"/>
          <w:kern w:val="0"/>
          <w:sz w:val="26"/>
          <w:szCs w:val="26"/>
          <w14:ligatures w14:val="none"/>
        </w:rPr>
        <w:t> and </w:t>
      </w:r>
      <w:hyperlink r:id="rId31" w:history="1">
        <w:r w:rsidRPr="00E61A29">
          <w:rPr>
            <w:rFonts w:ascii="Source Sans Pro" w:eastAsia="Times New Roman" w:hAnsi="Source Sans Pro" w:cs="Times New Roman"/>
            <w:color w:val="005B94"/>
            <w:kern w:val="0"/>
            <w:sz w:val="26"/>
            <w:szCs w:val="26"/>
            <w:u w:val="single"/>
            <w14:ligatures w14:val="none"/>
          </w:rPr>
          <w:t>4</w:t>
        </w:r>
      </w:hyperlink>
      <w:r w:rsidRPr="00E61A29">
        <w:rPr>
          <w:rFonts w:ascii="Source Sans Pro" w:eastAsia="Times New Roman" w:hAnsi="Source Sans Pro" w:cs="Times New Roman"/>
          <w:color w:val="1B1B1B"/>
          <w:kern w:val="0"/>
          <w:sz w:val="26"/>
          <w:szCs w:val="26"/>
          <w14:ligatures w14:val="none"/>
        </w:rPr>
        <w:t>.</w:t>
      </w:r>
    </w:p>
    <w:p w14:paraId="54BC65B1" w14:textId="77777777" w:rsidR="00E61A29" w:rsidRPr="00E61A29" w:rsidRDefault="00E61A29" w:rsidP="00E61A29">
      <w:pPr>
        <w:shd w:val="clear" w:color="auto" w:fill="FFFFFF"/>
        <w:spacing w:after="100" w:afterAutospacing="1" w:line="312" w:lineRule="atLeast"/>
        <w:outlineLvl w:val="2"/>
        <w:rPr>
          <w:rFonts w:ascii="Arial" w:eastAsia="Times New Roman" w:hAnsi="Arial" w:cs="Arial"/>
          <w:b/>
          <w:bCs/>
          <w:color w:val="1B1B1B"/>
          <w:kern w:val="0"/>
          <w:sz w:val="36"/>
          <w:szCs w:val="36"/>
          <w14:ligatures w14:val="none"/>
        </w:rPr>
      </w:pPr>
      <w:r w:rsidRPr="00E61A29">
        <w:rPr>
          <w:rFonts w:ascii="Arial" w:eastAsia="Times New Roman" w:hAnsi="Arial" w:cs="Arial"/>
          <w:b/>
          <w:bCs/>
          <w:color w:val="1B1B1B"/>
          <w:kern w:val="0"/>
          <w:sz w:val="36"/>
          <w:szCs w:val="36"/>
          <w14:ligatures w14:val="none"/>
        </w:rPr>
        <w:t>Defining Roles and Responsibilities for Medication Reconciliation</w:t>
      </w:r>
    </w:p>
    <w:p w14:paraId="5A960959"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Now, it's time to determine which discipline(s) should be involved in each step of the medication reconciliation process, including their respective roles and responsibilities. Consider some of the following questions:</w:t>
      </w:r>
    </w:p>
    <w:p w14:paraId="48F17133" w14:textId="77777777" w:rsidR="00E61A29" w:rsidRPr="00E61A29" w:rsidRDefault="00E61A29" w:rsidP="00E61A29">
      <w:pPr>
        <w:numPr>
          <w:ilvl w:val="0"/>
          <w:numId w:val="27"/>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Which discipline could start building the "One Source of Truth" upon admission (entry) to the organization? How will information be validated as necessary toward establishing a "good faith effort" in building an accurate, complete medication list?</w:t>
      </w:r>
    </w:p>
    <w:p w14:paraId="71909182" w14:textId="77777777" w:rsidR="00E61A29" w:rsidRPr="00E61A29" w:rsidRDefault="00E61A29" w:rsidP="00E61A29">
      <w:pPr>
        <w:numPr>
          <w:ilvl w:val="0"/>
          <w:numId w:val="27"/>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What process steps are needed to perform medication reconciliation on outpatients and inpatients upon admission (entry), intra-hospital transfers (if applicable during a patient's stay), and discharge (exit)?</w:t>
      </w:r>
    </w:p>
    <w:p w14:paraId="522B1C37" w14:textId="77777777" w:rsidR="00E61A29" w:rsidRPr="00E61A29" w:rsidRDefault="00E61A29" w:rsidP="00E61A29">
      <w:pPr>
        <w:numPr>
          <w:ilvl w:val="0"/>
          <w:numId w:val="27"/>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What are the required elements for The Joint Commission's National Patient Safety Goal on medication reconciliation?</w:t>
      </w:r>
    </w:p>
    <w:p w14:paraId="5AE64AB6" w14:textId="77777777" w:rsidR="00E61A29" w:rsidRPr="00E61A29" w:rsidRDefault="00E61A29" w:rsidP="00E61A29">
      <w:pPr>
        <w:numPr>
          <w:ilvl w:val="0"/>
          <w:numId w:val="27"/>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What resources are available within the organization to perform required steps in the process?</w:t>
      </w:r>
    </w:p>
    <w:p w14:paraId="4FCD1510"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 xml:space="preserve">During admission and at any point during the episode of care, various disciplines may learn new information regarding a patient's home medications. In addition, </w:t>
      </w:r>
      <w:r w:rsidRPr="00E61A29">
        <w:rPr>
          <w:rFonts w:ascii="Source Sans Pro" w:eastAsia="Times New Roman" w:hAnsi="Source Sans Pro" w:cs="Times New Roman"/>
          <w:color w:val="1B1B1B"/>
          <w:kern w:val="0"/>
          <w:sz w:val="26"/>
          <w:szCs w:val="26"/>
          <w14:ligatures w14:val="none"/>
        </w:rPr>
        <w:lastRenderedPageBreak/>
        <w:t>physicians, nurses, and pharmacists have an active role in reviewing, managing, and monitoring a patient's medications. Therefore, consider adopting a team approach for medication reconciliation. Remember, for a team approach to be effective, it is imperative that roles are clearly defined. If there is ambiguity around an individual's role, the process cannot be successful. To help drive this point home, here is an often-shared story about four people: Everybody, Somebody, Anybody, and Nobody.</w:t>
      </w:r>
    </w:p>
    <w:p w14:paraId="09ADE4B4" w14:textId="77777777" w:rsidR="00E61A29" w:rsidRPr="00E61A29" w:rsidRDefault="00E61A29" w:rsidP="00E61A29">
      <w:pPr>
        <w:shd w:val="clear" w:color="auto" w:fill="FFFFFF"/>
        <w:spacing w:after="0"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 xml:space="preserve">"There was an important job to be </w:t>
      </w:r>
      <w:proofErr w:type="gramStart"/>
      <w:r w:rsidRPr="00E61A29">
        <w:rPr>
          <w:rFonts w:ascii="Source Sans Pro" w:eastAsia="Times New Roman" w:hAnsi="Source Sans Pro" w:cs="Times New Roman"/>
          <w:color w:val="1B1B1B"/>
          <w:kern w:val="0"/>
          <w:sz w:val="26"/>
          <w:szCs w:val="26"/>
          <w14:ligatures w14:val="none"/>
        </w:rPr>
        <w:t>done</w:t>
      </w:r>
      <w:proofErr w:type="gramEnd"/>
      <w:r w:rsidRPr="00E61A29">
        <w:rPr>
          <w:rFonts w:ascii="Source Sans Pro" w:eastAsia="Times New Roman" w:hAnsi="Source Sans Pro" w:cs="Times New Roman"/>
          <w:color w:val="1B1B1B"/>
          <w:kern w:val="0"/>
          <w:sz w:val="26"/>
          <w:szCs w:val="26"/>
          <w14:ligatures w14:val="none"/>
        </w:rPr>
        <w:t xml:space="preserve"> and Everybody was asked to do it. Anybody could have done it, but Nobody did it. Somebody got angry about that because it was Everybody's job. Everybody thought Anybody could do it, but Nobody realized that Everybody wouldn't do it. It ended up that Everybody blamed Somebody when actually Nobody did what Anybody could have done." (Anonymous)</w:t>
      </w:r>
    </w:p>
    <w:p w14:paraId="6F2B715B"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Therefore, individual roles and responsibilities need to be clearly defined and understood by all disciplines participating on the medication reconciliation team.</w:t>
      </w:r>
    </w:p>
    <w:p w14:paraId="70A89117"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To help determine roles and responsibilities, map out the various admission points in your organization. For procedural areas, consider clinics involved with pre-procedural appointments or areas that register patients and may be able to contribute to your process. Your list may look something like:</w:t>
      </w:r>
    </w:p>
    <w:p w14:paraId="0DD301E4" w14:textId="77777777" w:rsidR="00E61A29" w:rsidRPr="00E61A29" w:rsidRDefault="00E61A29" w:rsidP="00E61A29">
      <w:pPr>
        <w:numPr>
          <w:ilvl w:val="0"/>
          <w:numId w:val="28"/>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Direct Admission (usually from a doctor's office) → Inpatient Unit.</w:t>
      </w:r>
    </w:p>
    <w:p w14:paraId="72FC35E8" w14:textId="77777777" w:rsidR="00E61A29" w:rsidRPr="00E61A29" w:rsidRDefault="00E61A29" w:rsidP="00E61A29">
      <w:pPr>
        <w:numPr>
          <w:ilvl w:val="0"/>
          <w:numId w:val="28"/>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Procedural Area or Ambulatory Surgery Unit (pre-registered, early morning admissions) → Inpatient Unit.</w:t>
      </w:r>
    </w:p>
    <w:p w14:paraId="50ACFA52" w14:textId="77777777" w:rsidR="00E61A29" w:rsidRPr="00E61A29" w:rsidRDefault="00E61A29" w:rsidP="00E61A29">
      <w:pPr>
        <w:numPr>
          <w:ilvl w:val="0"/>
          <w:numId w:val="28"/>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Emergency Department → Inpatient Unit.</w:t>
      </w:r>
    </w:p>
    <w:p w14:paraId="170BEAFE" w14:textId="77777777" w:rsidR="00E61A29" w:rsidRPr="00E61A29" w:rsidRDefault="00E61A29" w:rsidP="00E61A29">
      <w:pPr>
        <w:numPr>
          <w:ilvl w:val="0"/>
          <w:numId w:val="28"/>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Triage/Labor and Delivery Unit → Inpatient Obstetrical Unit.</w:t>
      </w:r>
    </w:p>
    <w:p w14:paraId="3F42C586" w14:textId="77777777" w:rsidR="00E61A29" w:rsidRPr="00E61A29" w:rsidRDefault="00E61A29" w:rsidP="00E61A29">
      <w:pPr>
        <w:numPr>
          <w:ilvl w:val="0"/>
          <w:numId w:val="28"/>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External Transfers (patients transferred from an outside hospital) → Inpatient Unit.</w:t>
      </w:r>
    </w:p>
    <w:p w14:paraId="7FA088CE"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Go to the </w:t>
      </w:r>
      <w:hyperlink r:id="rId32" w:history="1">
        <w:r w:rsidRPr="00E61A29">
          <w:rPr>
            <w:rFonts w:ascii="Source Sans Pro" w:eastAsia="Times New Roman" w:hAnsi="Source Sans Pro" w:cs="Times New Roman"/>
            <w:color w:val="005B94"/>
            <w:kern w:val="0"/>
            <w:sz w:val="26"/>
            <w:szCs w:val="26"/>
            <w:u w:val="single"/>
            <w14:ligatures w14:val="none"/>
          </w:rPr>
          <w:t>Appendix</w:t>
        </w:r>
      </w:hyperlink>
      <w:r w:rsidRPr="00E61A29">
        <w:rPr>
          <w:rFonts w:ascii="Source Sans Pro" w:eastAsia="Times New Roman" w:hAnsi="Source Sans Pro" w:cs="Times New Roman"/>
          <w:color w:val="1B1B1B"/>
          <w:kern w:val="0"/>
          <w:sz w:val="26"/>
          <w:szCs w:val="26"/>
          <w14:ligatures w14:val="none"/>
        </w:rPr>
        <w:t xml:space="preserve"> for a sample worksheet and for an example of admission, intra-facility </w:t>
      </w:r>
      <w:proofErr w:type="gramStart"/>
      <w:r w:rsidRPr="00E61A29">
        <w:rPr>
          <w:rFonts w:ascii="Source Sans Pro" w:eastAsia="Times New Roman" w:hAnsi="Source Sans Pro" w:cs="Times New Roman"/>
          <w:color w:val="1B1B1B"/>
          <w:kern w:val="0"/>
          <w:sz w:val="26"/>
          <w:szCs w:val="26"/>
          <w14:ligatures w14:val="none"/>
        </w:rPr>
        <w:t>transfer</w:t>
      </w:r>
      <w:proofErr w:type="gramEnd"/>
      <w:r w:rsidRPr="00E61A29">
        <w:rPr>
          <w:rFonts w:ascii="Source Sans Pro" w:eastAsia="Times New Roman" w:hAnsi="Source Sans Pro" w:cs="Times New Roman"/>
          <w:color w:val="1B1B1B"/>
          <w:kern w:val="0"/>
          <w:sz w:val="26"/>
          <w:szCs w:val="26"/>
          <w14:ligatures w14:val="none"/>
        </w:rPr>
        <w:t xml:space="preserve"> and discharge process steps to determine disciplines roles and responsibilities for medication reconciliation.</w:t>
      </w:r>
    </w:p>
    <w:p w14:paraId="4CAD52F4"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Second, determine which discipline(s) within each admission point could initiate building the "One Source of Truth," and then confirm the list with the patient for accuracy and completeness. A good-faith effort should be made toward this goal with staff understanding of expectations.</w:t>
      </w:r>
    </w:p>
    <w:p w14:paraId="305427BE"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lastRenderedPageBreak/>
        <w:t>Third, make sure you communicate roles and responsibilities for medication reconciliation clearly and effectively. After determining which discipline will be responsible for implementing medication reconciliation at certain admission points, make sure to update the policies and procedures to reflect this designation.</w:t>
      </w:r>
    </w:p>
    <w:p w14:paraId="27857A58" w14:textId="77777777" w:rsidR="00E61A29" w:rsidRPr="00E61A29" w:rsidRDefault="00E61A29" w:rsidP="00E61A29">
      <w:pPr>
        <w:shd w:val="clear" w:color="auto" w:fill="FFFFFF"/>
        <w:spacing w:after="100" w:afterAutospacing="1" w:line="312" w:lineRule="atLeast"/>
        <w:outlineLvl w:val="2"/>
        <w:rPr>
          <w:rFonts w:ascii="Arial" w:eastAsia="Times New Roman" w:hAnsi="Arial" w:cs="Arial"/>
          <w:b/>
          <w:bCs/>
          <w:color w:val="1B1B1B"/>
          <w:kern w:val="0"/>
          <w:sz w:val="36"/>
          <w:szCs w:val="36"/>
          <w14:ligatures w14:val="none"/>
        </w:rPr>
      </w:pPr>
      <w:r w:rsidRPr="00E61A29">
        <w:rPr>
          <w:rFonts w:ascii="Arial" w:eastAsia="Times New Roman" w:hAnsi="Arial" w:cs="Arial"/>
          <w:b/>
          <w:bCs/>
          <w:color w:val="1B1B1B"/>
          <w:kern w:val="0"/>
          <w:sz w:val="36"/>
          <w:szCs w:val="36"/>
          <w14:ligatures w14:val="none"/>
        </w:rPr>
        <w:t>Integrating Medication Reconciliation into Existing Workflow</w:t>
      </w:r>
    </w:p>
    <w:p w14:paraId="46B33F09"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Prompts to complete required steps for medication reconciliation are essential. To be effective, prompts or reminders need to occur during the appropriate time within the clinician's workflow. Also, prompts or reminders decrease reliance on memory to perform required steps.</w:t>
      </w:r>
    </w:p>
    <w:p w14:paraId="65861788"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Incorporating prompts or reminders into a clinician's workflow is one example where automation is beneficial. For instance, during the admission order entry phase for a newly hospitalized patient, a physician could be prompted to complete medication reconciliation by documenting the patient's pre-admission medications and indicating ordering decisions for each medicine (i.e., continue, discontinue, modify, etc.). When the physician signs off on the admission order set, this could trigger a task for the nurse and/or pharmacist to communicate and educate the patient regarding new medications that were added or changes that were made in relation to desired treatment plans to identify unintended discrepancies.</w:t>
      </w:r>
    </w:p>
    <w:p w14:paraId="64419F62"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If an organization has a paper-based system, medication reconciliation forms should be kept in the medical record in a highly visible, specified location to serve as a reminder to perform medication reconciliation during the episode of care. Regardless of practice settings, clinicians need effective reminders at the appropriate times within their workflow for consistent behavior if true forcing functions are not possible.</w:t>
      </w:r>
    </w:p>
    <w:p w14:paraId="448C70C8" w14:textId="77777777" w:rsidR="00E61A29" w:rsidRPr="00E61A29" w:rsidRDefault="00E61A29" w:rsidP="00E61A29">
      <w:pPr>
        <w:shd w:val="clear" w:color="auto" w:fill="FFFFFF"/>
        <w:spacing w:after="100" w:afterAutospacing="1" w:line="312" w:lineRule="atLeast"/>
        <w:outlineLvl w:val="2"/>
        <w:rPr>
          <w:rFonts w:ascii="Arial" w:eastAsia="Times New Roman" w:hAnsi="Arial" w:cs="Arial"/>
          <w:b/>
          <w:bCs/>
          <w:color w:val="1B1B1B"/>
          <w:kern w:val="0"/>
          <w:sz w:val="36"/>
          <w:szCs w:val="36"/>
          <w14:ligatures w14:val="none"/>
        </w:rPr>
      </w:pPr>
      <w:r w:rsidRPr="00E61A29">
        <w:rPr>
          <w:rFonts w:ascii="Arial" w:eastAsia="Times New Roman" w:hAnsi="Arial" w:cs="Arial"/>
          <w:b/>
          <w:bCs/>
          <w:color w:val="1B1B1B"/>
          <w:kern w:val="0"/>
          <w:sz w:val="36"/>
          <w:szCs w:val="36"/>
          <w14:ligatures w14:val="none"/>
        </w:rPr>
        <w:t>Flowcharting the Design or Redesign for Medication Reconciliation</w:t>
      </w:r>
    </w:p>
    <w:p w14:paraId="5ACF7E00"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 xml:space="preserve">Once roles and responsibilities are established and you've determined how the new design or redesign of an existing process can be integrated into workflow, a flowchart can be created. This new flowchart should be compared to the initial flowchart developed before redesign to highlight efficiencies through streamlined process steps </w:t>
      </w:r>
      <w:r w:rsidRPr="00E61A29">
        <w:rPr>
          <w:rFonts w:ascii="Source Sans Pro" w:eastAsia="Times New Roman" w:hAnsi="Source Sans Pro" w:cs="Times New Roman"/>
          <w:color w:val="1B1B1B"/>
          <w:kern w:val="0"/>
          <w:sz w:val="26"/>
          <w:szCs w:val="26"/>
          <w14:ligatures w14:val="none"/>
        </w:rPr>
        <w:lastRenderedPageBreak/>
        <w:t>and integration into existing workflow with consideration to transition points as applicable.</w:t>
      </w:r>
    </w:p>
    <w:p w14:paraId="65219B91" w14:textId="77777777" w:rsidR="00E61A29" w:rsidRPr="00E61A29" w:rsidRDefault="00E61A29" w:rsidP="00E61A29">
      <w:pPr>
        <w:shd w:val="clear" w:color="auto" w:fill="FFFFFF"/>
        <w:spacing w:after="100" w:afterAutospacing="1" w:line="312" w:lineRule="atLeast"/>
        <w:outlineLvl w:val="2"/>
        <w:rPr>
          <w:rFonts w:ascii="Arial" w:eastAsia="Times New Roman" w:hAnsi="Arial" w:cs="Arial"/>
          <w:b/>
          <w:bCs/>
          <w:color w:val="1B1B1B"/>
          <w:kern w:val="0"/>
          <w:sz w:val="36"/>
          <w:szCs w:val="36"/>
          <w14:ligatures w14:val="none"/>
        </w:rPr>
      </w:pPr>
      <w:r w:rsidRPr="00E61A29">
        <w:rPr>
          <w:rFonts w:ascii="Arial" w:eastAsia="Times New Roman" w:hAnsi="Arial" w:cs="Arial"/>
          <w:b/>
          <w:bCs/>
          <w:color w:val="1B1B1B"/>
          <w:kern w:val="0"/>
          <w:sz w:val="36"/>
          <w:szCs w:val="36"/>
          <w14:ligatures w14:val="none"/>
        </w:rPr>
        <w:t>Designing the Process—Considerations for Various Practice Settings</w:t>
      </w:r>
    </w:p>
    <w:p w14:paraId="5559F426"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Finding a starting point for improving the medication reconciliation project should be driven by understanding the needs of various departments and clinical roles and responsibilities of staff at each transition point is a great way to begin. Below are various transition points that should be considered as you build a plan to improve the medication reconciliation process.</w:t>
      </w:r>
    </w:p>
    <w:p w14:paraId="76F833E9"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b/>
          <w:bCs/>
          <w:color w:val="1B1B1B"/>
          <w:kern w:val="0"/>
          <w:sz w:val="26"/>
          <w:szCs w:val="26"/>
          <w14:ligatures w14:val="none"/>
        </w:rPr>
        <w:t>Inpatient Practice Setting</w:t>
      </w:r>
      <w:r w:rsidRPr="00E61A29">
        <w:rPr>
          <w:rFonts w:ascii="Source Sans Pro" w:eastAsia="Times New Roman" w:hAnsi="Source Sans Pro" w:cs="Times New Roman"/>
          <w:color w:val="1B1B1B"/>
          <w:kern w:val="0"/>
          <w:sz w:val="26"/>
          <w:szCs w:val="26"/>
          <w14:ligatures w14:val="none"/>
        </w:rPr>
        <w:t>. One goal for medication reconciliation is to standardize and simplify the process throughout the organization. Often, nuances within various practice settings create challenges for medication reconciliation when patients transition through the hospital. It is important to recognize and understand these nuances, modify them as appropriate to minimize variations, and then integrate them into the overall process design. Begin by designing a core or primary process.</w:t>
      </w:r>
    </w:p>
    <w:p w14:paraId="2AEC773E" w14:textId="77777777" w:rsidR="00E61A29" w:rsidRPr="00E61A29" w:rsidRDefault="00E61A29" w:rsidP="00E61A29">
      <w:pPr>
        <w:numPr>
          <w:ilvl w:val="0"/>
          <w:numId w:val="29"/>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How can each of the admission points be integrated into a primary or core process?</w:t>
      </w:r>
    </w:p>
    <w:p w14:paraId="4CA75A44" w14:textId="77777777" w:rsidR="00E61A29" w:rsidRPr="00E61A29" w:rsidRDefault="00E61A29" w:rsidP="00E61A29">
      <w:pPr>
        <w:numPr>
          <w:ilvl w:val="0"/>
          <w:numId w:val="29"/>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Could one or more disciplines within each admission point initiate a "One Source of Truth" or confirm the list with the patient for accuracy and completeness?</w:t>
      </w:r>
    </w:p>
    <w:p w14:paraId="4B3ECD40"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Often, the flowchart is the primary process that encompasses the most high-volume entry points into the facility. Sample flowcharts by practice setting are provided for reference in the </w:t>
      </w:r>
      <w:hyperlink r:id="rId33" w:history="1">
        <w:r w:rsidRPr="00E61A29">
          <w:rPr>
            <w:rFonts w:ascii="Source Sans Pro" w:eastAsia="Times New Roman" w:hAnsi="Source Sans Pro" w:cs="Times New Roman"/>
            <w:color w:val="005B94"/>
            <w:kern w:val="0"/>
            <w:sz w:val="26"/>
            <w:szCs w:val="26"/>
            <w:u w:val="single"/>
            <w14:ligatures w14:val="none"/>
          </w:rPr>
          <w:t>Appendix</w:t>
        </w:r>
      </w:hyperlink>
      <w:r w:rsidRPr="00E61A29">
        <w:rPr>
          <w:rFonts w:ascii="Source Sans Pro" w:eastAsia="Times New Roman" w:hAnsi="Source Sans Pro" w:cs="Times New Roman"/>
          <w:color w:val="1B1B1B"/>
          <w:kern w:val="0"/>
          <w:sz w:val="26"/>
          <w:szCs w:val="26"/>
          <w14:ligatures w14:val="none"/>
        </w:rPr>
        <w:t>.</w:t>
      </w:r>
    </w:p>
    <w:p w14:paraId="4354F554"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i/>
          <w:iCs/>
          <w:color w:val="1B1B1B"/>
          <w:kern w:val="0"/>
          <w:sz w:val="26"/>
          <w:szCs w:val="26"/>
          <w14:ligatures w14:val="none"/>
        </w:rPr>
        <w:t>"One Source of Truth" Ambulatory Surgery or Procedural Area, the Emergency Department, and Triage/Labor and Delivery Unit</w:t>
      </w:r>
      <w:r w:rsidRPr="00E61A29">
        <w:rPr>
          <w:rFonts w:ascii="Source Sans Pro" w:eastAsia="Times New Roman" w:hAnsi="Source Sans Pro" w:cs="Times New Roman"/>
          <w:color w:val="1B1B1B"/>
          <w:kern w:val="0"/>
          <w:sz w:val="26"/>
          <w:szCs w:val="26"/>
          <w14:ligatures w14:val="none"/>
        </w:rPr>
        <w:t>. Ambulatory surgery can be a successful starting point of the "One Source of Truth" medication list. It is a relatively controlled environment that pre-schedules patient-nurse interactions and that commonly encompasses a medication review with each patient. In most cases, the patient is not acutely ill and can provide accurate information when given adequate time. Piloting the improved process in this department is a good way to establish the culture of using a "One Source of Truth."</w:t>
      </w:r>
    </w:p>
    <w:p w14:paraId="2D5472A1"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b/>
          <w:bCs/>
          <w:color w:val="1B1B1B"/>
          <w:kern w:val="0"/>
          <w:sz w:val="26"/>
          <w:szCs w:val="26"/>
          <w14:ligatures w14:val="none"/>
        </w:rPr>
        <w:lastRenderedPageBreak/>
        <w:t>Post-Acute Care Settings</w:t>
      </w:r>
      <w:r w:rsidRPr="00E61A29">
        <w:rPr>
          <w:rFonts w:ascii="Source Sans Pro" w:eastAsia="Times New Roman" w:hAnsi="Source Sans Pro" w:cs="Times New Roman"/>
          <w:color w:val="1B1B1B"/>
          <w:kern w:val="0"/>
          <w:sz w:val="26"/>
          <w:szCs w:val="26"/>
          <w14:ligatures w14:val="none"/>
        </w:rPr>
        <w:t xml:space="preserve">. While </w:t>
      </w:r>
      <w:proofErr w:type="gramStart"/>
      <w:r w:rsidRPr="00E61A29">
        <w:rPr>
          <w:rFonts w:ascii="Source Sans Pro" w:eastAsia="Times New Roman" w:hAnsi="Source Sans Pro" w:cs="Times New Roman"/>
          <w:color w:val="1B1B1B"/>
          <w:kern w:val="0"/>
          <w:sz w:val="26"/>
          <w:szCs w:val="26"/>
          <w14:ligatures w14:val="none"/>
        </w:rPr>
        <w:t>the majority of</w:t>
      </w:r>
      <w:proofErr w:type="gramEnd"/>
      <w:r w:rsidRPr="00E61A29">
        <w:rPr>
          <w:rFonts w:ascii="Source Sans Pro" w:eastAsia="Times New Roman" w:hAnsi="Source Sans Pro" w:cs="Times New Roman"/>
          <w:color w:val="1B1B1B"/>
          <w:kern w:val="0"/>
          <w:sz w:val="26"/>
          <w:szCs w:val="26"/>
          <w14:ligatures w14:val="none"/>
        </w:rPr>
        <w:t xml:space="preserve"> discussion and examples within this toolkit focus on inpatient settings, post-acute care facilities can adapt the same concepts to strengthen or implement a medication reconciliation process. A skilled nursing facility would look at all the processes that are common conduits for nursing home placement. Using admission directly from a hospital as the core process, the facility could then look at all variations on admissions that are encountered and make changes to the core process </w:t>
      </w:r>
      <w:proofErr w:type="gramStart"/>
      <w:r w:rsidRPr="00E61A29">
        <w:rPr>
          <w:rFonts w:ascii="Source Sans Pro" w:eastAsia="Times New Roman" w:hAnsi="Source Sans Pro" w:cs="Times New Roman"/>
          <w:color w:val="1B1B1B"/>
          <w:kern w:val="0"/>
          <w:sz w:val="26"/>
          <w:szCs w:val="26"/>
          <w14:ligatures w14:val="none"/>
        </w:rPr>
        <w:t>similar to</w:t>
      </w:r>
      <w:proofErr w:type="gramEnd"/>
      <w:r w:rsidRPr="00E61A29">
        <w:rPr>
          <w:rFonts w:ascii="Source Sans Pro" w:eastAsia="Times New Roman" w:hAnsi="Source Sans Pro" w:cs="Times New Roman"/>
          <w:color w:val="1B1B1B"/>
          <w:kern w:val="0"/>
          <w:sz w:val="26"/>
          <w:szCs w:val="26"/>
          <w14:ligatures w14:val="none"/>
        </w:rPr>
        <w:t xml:space="preserve"> the examples provided. Some variables may include admissions directly from home, admissions and referrals from home with the involvement of a home health provider, and even respite stays.</w:t>
      </w:r>
    </w:p>
    <w:p w14:paraId="1BBE5F89"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Similarly, a home health care provider could define its core process as an admission directly from an inpatient hospital stay to the services to be provided. In mapping out their process, the home health care provider could determine variations to this core process (e.g., admission from a skilled nursing facility, admission directly from home) and then integrate these scenarios into the core reconciliation process.</w:t>
      </w:r>
    </w:p>
    <w:p w14:paraId="7163C476"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While many health care facilities are not "fully" electronic, it is important to have a good understanding of the needs of the clinician workflow and the process, as well as have a sound understanding of each department's individual needs, as this will assist in the choice of an electronic system or to build a process once there is a choice of EHR.</w:t>
      </w:r>
    </w:p>
    <w:p w14:paraId="1B74DDD4"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b/>
          <w:bCs/>
          <w:color w:val="1B1B1B"/>
          <w:kern w:val="0"/>
          <w:sz w:val="26"/>
          <w:szCs w:val="26"/>
          <w14:ligatures w14:val="none"/>
        </w:rPr>
        <w:t>Medication Reconciliation upon Admission, Intra-Hospital Transfer, and Discharge in a Hospital with an Electronic Health Record</w:t>
      </w:r>
      <w:r w:rsidRPr="00E61A29">
        <w:rPr>
          <w:rFonts w:ascii="Source Sans Pro" w:eastAsia="Times New Roman" w:hAnsi="Source Sans Pro" w:cs="Times New Roman"/>
          <w:color w:val="1B1B1B"/>
          <w:kern w:val="0"/>
          <w:sz w:val="26"/>
          <w:szCs w:val="26"/>
          <w14:ligatures w14:val="none"/>
        </w:rPr>
        <w:t xml:space="preserve">. The following examples provide guidance on incorporating an electronic medication reconciliation process that includes "One Source of Truth" into the admission, transfer, and discharge workflow </w:t>
      </w:r>
      <w:proofErr w:type="gramStart"/>
      <w:r w:rsidRPr="00E61A29">
        <w:rPr>
          <w:rFonts w:ascii="Source Sans Pro" w:eastAsia="Times New Roman" w:hAnsi="Source Sans Pro" w:cs="Times New Roman"/>
          <w:color w:val="1B1B1B"/>
          <w:kern w:val="0"/>
          <w:sz w:val="26"/>
          <w:szCs w:val="26"/>
          <w14:ligatures w14:val="none"/>
        </w:rPr>
        <w:t>in order to</w:t>
      </w:r>
      <w:proofErr w:type="gramEnd"/>
      <w:r w:rsidRPr="00E61A29">
        <w:rPr>
          <w:rFonts w:ascii="Source Sans Pro" w:eastAsia="Times New Roman" w:hAnsi="Source Sans Pro" w:cs="Times New Roman"/>
          <w:color w:val="1B1B1B"/>
          <w:kern w:val="0"/>
          <w:sz w:val="26"/>
          <w:szCs w:val="26"/>
          <w14:ligatures w14:val="none"/>
        </w:rPr>
        <w:t xml:space="preserve"> make the right thing to do the easy thing to do. </w:t>
      </w:r>
      <w:bookmarkStart w:id="7" w:name="fig5"/>
      <w:r w:rsidRPr="00E61A29">
        <w:rPr>
          <w:rFonts w:ascii="Source Sans Pro" w:eastAsia="Times New Roman" w:hAnsi="Source Sans Pro" w:cs="Times New Roman"/>
          <w:color w:val="1B1B1B"/>
          <w:kern w:val="0"/>
          <w:sz w:val="26"/>
          <w:szCs w:val="26"/>
          <w14:ligatures w14:val="none"/>
        </w:rPr>
        <w:t> </w:t>
      </w:r>
      <w:bookmarkEnd w:id="7"/>
    </w:p>
    <w:p w14:paraId="6D6EC456"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i/>
          <w:iCs/>
          <w:color w:val="1B1B1B"/>
          <w:kern w:val="0"/>
          <w:sz w:val="26"/>
          <w:szCs w:val="26"/>
          <w14:ligatures w14:val="none"/>
        </w:rPr>
        <w:t>Admission</w:t>
      </w:r>
      <w:r w:rsidRPr="00E61A29">
        <w:rPr>
          <w:rFonts w:ascii="Source Sans Pro" w:eastAsia="Times New Roman" w:hAnsi="Source Sans Pro" w:cs="Times New Roman"/>
          <w:color w:val="1B1B1B"/>
          <w:kern w:val="0"/>
          <w:sz w:val="26"/>
          <w:szCs w:val="26"/>
          <w14:ligatures w14:val="none"/>
        </w:rPr>
        <w:t>. A medication profile within a patient's EHR can serve as a "One Source of Truth" for viewing inpatient medication orders and a patient's prescription/home medication list all in one location. A medication profile could be pulled into forms or presented when patients' current medication lists are obtained and documented (i.e., making the right thing to do easier). (Go to </w:t>
      </w:r>
      <w:hyperlink r:id="rId34" w:history="1">
        <w:r w:rsidRPr="00E61A29">
          <w:rPr>
            <w:rFonts w:ascii="Source Sans Pro" w:eastAsia="Times New Roman" w:hAnsi="Source Sans Pro" w:cs="Times New Roman"/>
            <w:color w:val="005B94"/>
            <w:kern w:val="0"/>
            <w:sz w:val="26"/>
            <w:szCs w:val="26"/>
            <w:u w:val="single"/>
            <w14:ligatures w14:val="none"/>
          </w:rPr>
          <w:t>Figure 5</w:t>
        </w:r>
      </w:hyperlink>
      <w:r w:rsidRPr="00E61A29">
        <w:rPr>
          <w:rFonts w:ascii="Source Sans Pro" w:eastAsia="Times New Roman" w:hAnsi="Source Sans Pro" w:cs="Times New Roman"/>
          <w:color w:val="1B1B1B"/>
          <w:kern w:val="0"/>
          <w:sz w:val="26"/>
          <w:szCs w:val="26"/>
          <w14:ligatures w14:val="none"/>
        </w:rPr>
        <w:t>.)</w:t>
      </w:r>
    </w:p>
    <w:p w14:paraId="4D6F0B88"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Within an EHR, incorporating medication reconciliation steps into a physician's workflow may include:</w:t>
      </w:r>
    </w:p>
    <w:p w14:paraId="381A36A6" w14:textId="77777777" w:rsidR="00E61A29" w:rsidRPr="00E61A29" w:rsidRDefault="00E61A29" w:rsidP="00E61A29">
      <w:pPr>
        <w:numPr>
          <w:ilvl w:val="0"/>
          <w:numId w:val="30"/>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lastRenderedPageBreak/>
        <w:t>Building "One Source of Truth" that includes documentation and confirmation of a patient's current medication list with radio buttons to indicate the accuracy, completeness, and information sources utilized (evidence of a "good faith" effort for obtaining the patient's current medication information). </w:t>
      </w:r>
      <w:bookmarkStart w:id="8" w:name="fig6"/>
      <w:bookmarkStart w:id="9" w:name="fig7"/>
      <w:bookmarkEnd w:id="8"/>
      <w:r w:rsidRPr="00E61A29">
        <w:rPr>
          <w:rFonts w:ascii="Source Sans Pro" w:eastAsia="Times New Roman" w:hAnsi="Source Sans Pro" w:cs="Times New Roman"/>
          <w:color w:val="1B1B1B"/>
          <w:kern w:val="0"/>
          <w:sz w:val="26"/>
          <w:szCs w:val="26"/>
          <w14:ligatures w14:val="none"/>
        </w:rPr>
        <w:t> </w:t>
      </w:r>
      <w:bookmarkEnd w:id="9"/>
    </w:p>
    <w:p w14:paraId="60AF5AC4" w14:textId="77777777" w:rsidR="00E61A29" w:rsidRPr="00E61A29" w:rsidRDefault="00E61A29" w:rsidP="00E61A29">
      <w:pPr>
        <w:numPr>
          <w:ilvl w:val="0"/>
          <w:numId w:val="30"/>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Ability to indicate the plan for each home medication (such as discontinuing, continuing, or modifying current medications) in relation to the intended treatment goals for the episode of care when placing medication orders.</w:t>
      </w:r>
    </w:p>
    <w:p w14:paraId="4239F096" w14:textId="77777777" w:rsidR="00E61A29" w:rsidRPr="00E61A29" w:rsidRDefault="00E61A29" w:rsidP="00E61A29">
      <w:pPr>
        <w:numPr>
          <w:ilvl w:val="0"/>
          <w:numId w:val="30"/>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Prompts to complete medication reconciliation when placing an admission or post-op order set.</w:t>
      </w:r>
    </w:p>
    <w:p w14:paraId="43CF8D19"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Depending on the care unit, incorporating medication reconciliation steps into the nurse and/or pharmacist workflow may include:</w:t>
      </w:r>
    </w:p>
    <w:p w14:paraId="0C64D36C" w14:textId="77777777" w:rsidR="00E61A29" w:rsidRPr="00E61A29" w:rsidRDefault="00E61A29" w:rsidP="00E61A29">
      <w:pPr>
        <w:numPr>
          <w:ilvl w:val="0"/>
          <w:numId w:val="31"/>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Receiving a task after the physician completes medication reconciliation to verify home medications documented by the physician with the patient, family, or other sources.</w:t>
      </w:r>
    </w:p>
    <w:p w14:paraId="130F99D3" w14:textId="77777777" w:rsidR="00E61A29" w:rsidRPr="00E61A29" w:rsidRDefault="00E61A29" w:rsidP="00E61A29">
      <w:pPr>
        <w:numPr>
          <w:ilvl w:val="1"/>
          <w:numId w:val="31"/>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Verification is an important step, as patients often forget to mention medications or OTC medications/herbal supplements during the initial medication collection. Any new information regarding the patient's home medication list should be discussed with the physician and resulting changes documented.</w:t>
      </w:r>
    </w:p>
    <w:p w14:paraId="588CE0FC" w14:textId="77777777" w:rsidR="00E61A29" w:rsidRPr="00E61A29" w:rsidRDefault="00E61A29" w:rsidP="00E61A29">
      <w:pPr>
        <w:numPr>
          <w:ilvl w:val="1"/>
          <w:numId w:val="31"/>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This verification step also provides an educational opportunity to teach patients about the medications ordered for them in the hospital in relation to their home medications, and comment on any differences.</w:t>
      </w:r>
    </w:p>
    <w:p w14:paraId="2F9FF944" w14:textId="77777777" w:rsidR="00E61A29" w:rsidRPr="00E61A29" w:rsidRDefault="00E61A29" w:rsidP="00E61A29">
      <w:pPr>
        <w:numPr>
          <w:ilvl w:val="0"/>
          <w:numId w:val="31"/>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Reconciling home medications with current inpatient orders.</w:t>
      </w:r>
    </w:p>
    <w:p w14:paraId="272A77C0" w14:textId="77777777" w:rsidR="00E61A29" w:rsidRPr="00E61A29" w:rsidRDefault="00E61A29" w:rsidP="00E61A29">
      <w:pPr>
        <w:numPr>
          <w:ilvl w:val="0"/>
          <w:numId w:val="31"/>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Clarifying unintended discrepancies (i.e., discrepancies that are not explained by the current care plan, by the patient's clinical status, or formulary substitution) with the physician for resolution.</w:t>
      </w:r>
    </w:p>
    <w:p w14:paraId="2340D69F" w14:textId="77777777" w:rsidR="00E61A29" w:rsidRPr="00E61A29" w:rsidRDefault="00E61A29" w:rsidP="00E61A29">
      <w:pPr>
        <w:numPr>
          <w:ilvl w:val="0"/>
          <w:numId w:val="31"/>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Completing a discipline-specific form with radio buttons and comment sections to document interactions and clarifications with patients, other sources, and the prescriber to trace follow-through on discrepancies and resulting clarifications and modifications, if needed. (Go to </w:t>
      </w:r>
      <w:hyperlink r:id="rId35" w:history="1">
        <w:r w:rsidRPr="00E61A29">
          <w:rPr>
            <w:rFonts w:ascii="Source Sans Pro" w:eastAsia="Times New Roman" w:hAnsi="Source Sans Pro" w:cs="Times New Roman"/>
            <w:color w:val="005B94"/>
            <w:kern w:val="0"/>
            <w:sz w:val="26"/>
            <w:szCs w:val="26"/>
            <w:u w:val="single"/>
            <w14:ligatures w14:val="none"/>
          </w:rPr>
          <w:t>Figures 6</w:t>
        </w:r>
      </w:hyperlink>
      <w:r w:rsidRPr="00E61A29">
        <w:rPr>
          <w:rFonts w:ascii="Source Sans Pro" w:eastAsia="Times New Roman" w:hAnsi="Source Sans Pro" w:cs="Times New Roman"/>
          <w:color w:val="1B1B1B"/>
          <w:kern w:val="0"/>
          <w:sz w:val="26"/>
          <w:szCs w:val="26"/>
          <w14:ligatures w14:val="none"/>
        </w:rPr>
        <w:t> and </w:t>
      </w:r>
      <w:hyperlink r:id="rId36" w:history="1">
        <w:r w:rsidRPr="00E61A29">
          <w:rPr>
            <w:rFonts w:ascii="Source Sans Pro" w:eastAsia="Times New Roman" w:hAnsi="Source Sans Pro" w:cs="Times New Roman"/>
            <w:color w:val="005B94"/>
            <w:kern w:val="0"/>
            <w:sz w:val="26"/>
            <w:szCs w:val="26"/>
            <w:u w:val="single"/>
            <w14:ligatures w14:val="none"/>
          </w:rPr>
          <w:t>7</w:t>
        </w:r>
      </w:hyperlink>
      <w:r w:rsidRPr="00E61A29">
        <w:rPr>
          <w:rFonts w:ascii="Source Sans Pro" w:eastAsia="Times New Roman" w:hAnsi="Source Sans Pro" w:cs="Times New Roman"/>
          <w:color w:val="1B1B1B"/>
          <w:kern w:val="0"/>
          <w:sz w:val="26"/>
          <w:szCs w:val="26"/>
          <w14:ligatures w14:val="none"/>
        </w:rPr>
        <w:t>.)</w:t>
      </w:r>
    </w:p>
    <w:p w14:paraId="09764B63"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i/>
          <w:iCs/>
          <w:color w:val="1B1B1B"/>
          <w:kern w:val="0"/>
          <w:sz w:val="26"/>
          <w:szCs w:val="26"/>
          <w14:ligatures w14:val="none"/>
        </w:rPr>
        <w:t>Intra-hospital Transfer</w:t>
      </w:r>
      <w:r w:rsidRPr="00E61A29">
        <w:rPr>
          <w:rFonts w:ascii="Source Sans Pro" w:eastAsia="Times New Roman" w:hAnsi="Source Sans Pro" w:cs="Times New Roman"/>
          <w:color w:val="1B1B1B"/>
          <w:kern w:val="0"/>
          <w:sz w:val="26"/>
          <w:szCs w:val="26"/>
          <w14:ligatures w14:val="none"/>
        </w:rPr>
        <w:t xml:space="preserve">. When a transfer order is placed indicating the patient is ready for transfer to another unit within the hospital, the physician may receive a prompt or </w:t>
      </w:r>
      <w:r w:rsidRPr="00E61A29">
        <w:rPr>
          <w:rFonts w:ascii="Source Sans Pro" w:eastAsia="Times New Roman" w:hAnsi="Source Sans Pro" w:cs="Times New Roman"/>
          <w:color w:val="1B1B1B"/>
          <w:kern w:val="0"/>
          <w:sz w:val="26"/>
          <w:szCs w:val="26"/>
          <w14:ligatures w14:val="none"/>
        </w:rPr>
        <w:lastRenderedPageBreak/>
        <w:t>reminder to perform medication reconciliation. Instructions may be included for the physician to:</w:t>
      </w:r>
    </w:p>
    <w:p w14:paraId="1A36BC3B" w14:textId="77777777" w:rsidR="00E61A29" w:rsidRPr="00E61A29" w:rsidRDefault="00E61A29" w:rsidP="00E61A29">
      <w:pPr>
        <w:numPr>
          <w:ilvl w:val="0"/>
          <w:numId w:val="32"/>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Assess current medication orders and make any changes or modifications in preparation for the new level of care.</w:t>
      </w:r>
    </w:p>
    <w:p w14:paraId="40DFDDCE" w14:textId="77777777" w:rsidR="00E61A29" w:rsidRPr="00E61A29" w:rsidRDefault="00E61A29" w:rsidP="00E61A29">
      <w:pPr>
        <w:numPr>
          <w:ilvl w:val="0"/>
          <w:numId w:val="32"/>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Review the patient's pre-admission medication list. Home medications initially held may now be appropriate to restart upon transfer.</w:t>
      </w:r>
    </w:p>
    <w:p w14:paraId="674CEE6B"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Nurses and/or pharmacists may be involved during intra-hospital transfers to ensure medication orders for the new level of care are consistent with desired treatment plans and to provide an independent double check that pre-admission medications initially held are appropriately restarted.</w:t>
      </w:r>
    </w:p>
    <w:p w14:paraId="0D635CC2"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i/>
          <w:iCs/>
          <w:color w:val="1B1B1B"/>
          <w:kern w:val="0"/>
          <w:sz w:val="26"/>
          <w:szCs w:val="26"/>
          <w14:ligatures w14:val="none"/>
        </w:rPr>
        <w:t>Physician Prompting at Discharge</w:t>
      </w:r>
      <w:r w:rsidRPr="00E61A29">
        <w:rPr>
          <w:rFonts w:ascii="Source Sans Pro" w:eastAsia="Times New Roman" w:hAnsi="Source Sans Pro" w:cs="Times New Roman"/>
          <w:color w:val="1B1B1B"/>
          <w:kern w:val="0"/>
          <w:sz w:val="26"/>
          <w:szCs w:val="26"/>
          <w14:ligatures w14:val="none"/>
        </w:rPr>
        <w:t xml:space="preserve">. Physicians may be prompted or reminded to perform medication reconciliation when placing a "discharge order," indicating the patient is ready for discharge. A discharge checklist could also be created listing elements that need to be completed prior to discharge (e.g., remove </w:t>
      </w:r>
      <w:proofErr w:type="spellStart"/>
      <w:r w:rsidRPr="00E61A29">
        <w:rPr>
          <w:rFonts w:ascii="Source Sans Pro" w:eastAsia="Times New Roman" w:hAnsi="Source Sans Pro" w:cs="Times New Roman"/>
          <w:color w:val="1B1B1B"/>
          <w:kern w:val="0"/>
          <w:sz w:val="26"/>
          <w:szCs w:val="26"/>
          <w14:ligatures w14:val="none"/>
        </w:rPr>
        <w:t>heplock</w:t>
      </w:r>
      <w:proofErr w:type="spellEnd"/>
      <w:r w:rsidRPr="00E61A29">
        <w:rPr>
          <w:rFonts w:ascii="Source Sans Pro" w:eastAsia="Times New Roman" w:hAnsi="Source Sans Pro" w:cs="Times New Roman"/>
          <w:color w:val="1B1B1B"/>
          <w:kern w:val="0"/>
          <w:sz w:val="26"/>
          <w:szCs w:val="26"/>
          <w14:ligatures w14:val="none"/>
        </w:rPr>
        <w:t>, perform medication reconciliation, prepare discharge medication list, educate patient, etc.). The goal for discharge medication reconciliation includes:</w:t>
      </w:r>
    </w:p>
    <w:p w14:paraId="37EA48CE" w14:textId="77777777" w:rsidR="00E61A29" w:rsidRPr="00E61A29" w:rsidRDefault="00E61A29" w:rsidP="00E61A29">
      <w:pPr>
        <w:numPr>
          <w:ilvl w:val="0"/>
          <w:numId w:val="33"/>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Comparing the patient's pre-admission medication list with the patient's current inpatient medications.</w:t>
      </w:r>
    </w:p>
    <w:p w14:paraId="31F7E7DF" w14:textId="77777777" w:rsidR="00E61A29" w:rsidRPr="00E61A29" w:rsidRDefault="00E61A29" w:rsidP="00E61A29">
      <w:pPr>
        <w:numPr>
          <w:ilvl w:val="0"/>
          <w:numId w:val="33"/>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Updating the patient's pre-admission medication list to reflect the patient's medication regimen upon discharge. This list may be integrated into Discharge Instructions (for the patient) and Discharge Summary (for the next provider of service).</w:t>
      </w:r>
    </w:p>
    <w:p w14:paraId="0E87121C" w14:textId="77777777" w:rsidR="00E61A29" w:rsidRPr="00E61A29" w:rsidRDefault="00E61A29" w:rsidP="00E61A29">
      <w:pPr>
        <w:numPr>
          <w:ilvl w:val="0"/>
          <w:numId w:val="33"/>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Providing the patient/family with written information on the medications the patient should be taking when discharged from the hospital, or at the end of an outpatient encounter.</w:t>
      </w:r>
    </w:p>
    <w:p w14:paraId="6ECE6335" w14:textId="77777777" w:rsidR="00E61A29" w:rsidRPr="00E61A29" w:rsidRDefault="00E61A29" w:rsidP="00E61A29">
      <w:pPr>
        <w:numPr>
          <w:ilvl w:val="0"/>
          <w:numId w:val="33"/>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Explaining the importance of managing medication information to the patient when discharged or at the end of an outpatient encounter. Instruct patient to:</w:t>
      </w:r>
    </w:p>
    <w:p w14:paraId="7EC0DA71" w14:textId="77777777" w:rsidR="00E61A29" w:rsidRPr="00E61A29" w:rsidRDefault="00E61A29" w:rsidP="00E61A29">
      <w:pPr>
        <w:numPr>
          <w:ilvl w:val="1"/>
          <w:numId w:val="33"/>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Give a list to their primary care provider.</w:t>
      </w:r>
    </w:p>
    <w:p w14:paraId="47891A5C" w14:textId="77777777" w:rsidR="00E61A29" w:rsidRPr="00E61A29" w:rsidRDefault="00E61A29" w:rsidP="00E61A29">
      <w:pPr>
        <w:numPr>
          <w:ilvl w:val="1"/>
          <w:numId w:val="33"/>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Update the list when medications are discontinued, doses are changed, or new medications (including OTC medications) are added.</w:t>
      </w:r>
    </w:p>
    <w:p w14:paraId="71C51841" w14:textId="77777777" w:rsidR="00E61A29" w:rsidRPr="00E61A29" w:rsidRDefault="00E61A29" w:rsidP="00E61A29">
      <w:pPr>
        <w:numPr>
          <w:ilvl w:val="1"/>
          <w:numId w:val="33"/>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proofErr w:type="gramStart"/>
      <w:r w:rsidRPr="00E61A29">
        <w:rPr>
          <w:rFonts w:ascii="Source Sans Pro" w:eastAsia="Times New Roman" w:hAnsi="Source Sans Pro" w:cs="Times New Roman"/>
          <w:color w:val="1B1B1B"/>
          <w:kern w:val="0"/>
          <w:sz w:val="26"/>
          <w:szCs w:val="26"/>
          <w14:ligatures w14:val="none"/>
        </w:rPr>
        <w:t>Carry medication information at all times</w:t>
      </w:r>
      <w:proofErr w:type="gramEnd"/>
      <w:r w:rsidRPr="00E61A29">
        <w:rPr>
          <w:rFonts w:ascii="Source Sans Pro" w:eastAsia="Times New Roman" w:hAnsi="Source Sans Pro" w:cs="Times New Roman"/>
          <w:color w:val="1B1B1B"/>
          <w:kern w:val="0"/>
          <w:sz w:val="26"/>
          <w:szCs w:val="26"/>
          <w14:ligatures w14:val="none"/>
        </w:rPr>
        <w:t xml:space="preserve"> in case of an emergency.</w:t>
      </w:r>
    </w:p>
    <w:p w14:paraId="314077D7"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i/>
          <w:iCs/>
          <w:color w:val="1B1B1B"/>
          <w:kern w:val="0"/>
          <w:sz w:val="26"/>
          <w:szCs w:val="26"/>
          <w14:ligatures w14:val="none"/>
        </w:rPr>
        <w:lastRenderedPageBreak/>
        <w:t>Nurse and/or Pharmacist Prompting</w:t>
      </w:r>
      <w:r w:rsidRPr="00E61A29">
        <w:rPr>
          <w:rFonts w:ascii="Source Sans Pro" w:eastAsia="Times New Roman" w:hAnsi="Source Sans Pro" w:cs="Times New Roman"/>
          <w:color w:val="1B1B1B"/>
          <w:kern w:val="0"/>
          <w:sz w:val="26"/>
          <w:szCs w:val="26"/>
          <w14:ligatures w14:val="none"/>
        </w:rPr>
        <w:t>. Discharge medication reconciliation may be integrated within the nurse's and/or pharmacist's discharge workflow with a prompt or instructions to:</w:t>
      </w:r>
    </w:p>
    <w:p w14:paraId="1142411C" w14:textId="77777777" w:rsidR="00E61A29" w:rsidRPr="00E61A29" w:rsidRDefault="00E61A29" w:rsidP="00E61A29">
      <w:pPr>
        <w:numPr>
          <w:ilvl w:val="0"/>
          <w:numId w:val="34"/>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Contact the physician if the patient's discharge medication list is not updated and/or complete (note: when establishing roles and responsibilities for preparing patients' discharge medication lists, a blanket statement such as "resume home medications" is not acceptable).</w:t>
      </w:r>
    </w:p>
    <w:p w14:paraId="35C88605" w14:textId="77777777" w:rsidR="00E61A29" w:rsidRPr="00E61A29" w:rsidRDefault="00E61A29" w:rsidP="00E61A29">
      <w:pPr>
        <w:numPr>
          <w:ilvl w:val="0"/>
          <w:numId w:val="34"/>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Contact the physician to clarify patient questions encountered during the patient counseling session prior to discharge.</w:t>
      </w:r>
    </w:p>
    <w:p w14:paraId="68CA4628"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i/>
          <w:iCs/>
          <w:color w:val="1B1B1B"/>
          <w:kern w:val="0"/>
          <w:sz w:val="26"/>
          <w:szCs w:val="26"/>
          <w14:ligatures w14:val="none"/>
        </w:rPr>
        <w:t>External Transfers</w:t>
      </w:r>
      <w:r w:rsidRPr="00E61A29">
        <w:rPr>
          <w:rFonts w:ascii="Source Sans Pro" w:eastAsia="Times New Roman" w:hAnsi="Source Sans Pro" w:cs="Times New Roman"/>
          <w:color w:val="1B1B1B"/>
          <w:kern w:val="0"/>
          <w:sz w:val="26"/>
          <w:szCs w:val="26"/>
          <w14:ligatures w14:val="none"/>
        </w:rPr>
        <w:t>. An external transfer patient is a patient who is transferred from a hospital outside of your own system. Such transfers may occur based on patient or provider request, specialty services required, or additional acute care needs.</w:t>
      </w:r>
    </w:p>
    <w:p w14:paraId="32F24C4A"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 xml:space="preserve">External transfer patients have additional complexity </w:t>
      </w:r>
      <w:proofErr w:type="gramStart"/>
      <w:r w:rsidRPr="00E61A29">
        <w:rPr>
          <w:rFonts w:ascii="Source Sans Pro" w:eastAsia="Times New Roman" w:hAnsi="Source Sans Pro" w:cs="Times New Roman"/>
          <w:color w:val="1B1B1B"/>
          <w:kern w:val="0"/>
          <w:sz w:val="26"/>
          <w:szCs w:val="26"/>
          <w14:ligatures w14:val="none"/>
        </w:rPr>
        <w:t>in regards to</w:t>
      </w:r>
      <w:proofErr w:type="gramEnd"/>
      <w:r w:rsidRPr="00E61A29">
        <w:rPr>
          <w:rFonts w:ascii="Source Sans Pro" w:eastAsia="Times New Roman" w:hAnsi="Source Sans Pro" w:cs="Times New Roman"/>
          <w:color w:val="1B1B1B"/>
          <w:kern w:val="0"/>
          <w:sz w:val="26"/>
          <w:szCs w:val="26"/>
          <w14:ligatures w14:val="none"/>
        </w:rPr>
        <w:t xml:space="preserve"> medication reconciliation because three sources of information require review and reconciliation:</w:t>
      </w:r>
    </w:p>
    <w:p w14:paraId="146591F8" w14:textId="77777777" w:rsidR="00E61A29" w:rsidRPr="00E61A29" w:rsidRDefault="00E61A29" w:rsidP="00E61A29">
      <w:pPr>
        <w:numPr>
          <w:ilvl w:val="0"/>
          <w:numId w:val="35"/>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Patient's list of medications prior to their hospitalization.</w:t>
      </w:r>
    </w:p>
    <w:p w14:paraId="179D9DD4" w14:textId="77777777" w:rsidR="00E61A29" w:rsidRPr="00E61A29" w:rsidRDefault="00E61A29" w:rsidP="00E61A29">
      <w:pPr>
        <w:numPr>
          <w:ilvl w:val="0"/>
          <w:numId w:val="35"/>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Medications that are being administered to the patient at the outside hospital prior to transfer.</w:t>
      </w:r>
    </w:p>
    <w:p w14:paraId="14BC937A" w14:textId="77777777" w:rsidR="00E61A29" w:rsidRPr="00E61A29" w:rsidRDefault="00E61A29" w:rsidP="00E61A29">
      <w:pPr>
        <w:numPr>
          <w:ilvl w:val="0"/>
          <w:numId w:val="35"/>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Medications ordered at your hospital.</w:t>
      </w:r>
    </w:p>
    <w:p w14:paraId="21727169"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If the organization receives transfers from other hospitals, you should ensure a process is in place to address these reconciliation needs. Adequate communication and handoffs from the sending facility are critical to ensure all medication therapies are addressed and reconciled during the assessment and development of the patient's care plan at the organization.</w:t>
      </w:r>
    </w:p>
    <w:p w14:paraId="3E758490" w14:textId="77777777" w:rsidR="00E61A29" w:rsidRPr="00E61A29" w:rsidRDefault="00E61A29" w:rsidP="00E61A29">
      <w:pPr>
        <w:shd w:val="clear" w:color="auto" w:fill="FFFFFF"/>
        <w:spacing w:after="100" w:afterAutospacing="1" w:line="312" w:lineRule="atLeast"/>
        <w:outlineLvl w:val="2"/>
        <w:rPr>
          <w:rFonts w:ascii="Arial" w:eastAsia="Times New Roman" w:hAnsi="Arial" w:cs="Arial"/>
          <w:b/>
          <w:bCs/>
          <w:color w:val="1B1B1B"/>
          <w:kern w:val="0"/>
          <w:sz w:val="36"/>
          <w:szCs w:val="36"/>
          <w14:ligatures w14:val="none"/>
        </w:rPr>
      </w:pPr>
      <w:r w:rsidRPr="00E61A29">
        <w:rPr>
          <w:rFonts w:ascii="Arial" w:eastAsia="Times New Roman" w:hAnsi="Arial" w:cs="Arial"/>
          <w:b/>
          <w:bCs/>
          <w:color w:val="1B1B1B"/>
          <w:kern w:val="0"/>
          <w:sz w:val="36"/>
          <w:szCs w:val="36"/>
          <w14:ligatures w14:val="none"/>
        </w:rPr>
        <w:t>Chapter 3 Lessons Learned</w:t>
      </w:r>
    </w:p>
    <w:p w14:paraId="3D6B63BA"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Lessons learned from staff of facilities that have implemented MATCH and facilities that received technical assistance on MATCH through the AHRQ QIO Learning Network include:</w:t>
      </w:r>
    </w:p>
    <w:p w14:paraId="5BDDA11F" w14:textId="77777777" w:rsidR="00E61A29" w:rsidRPr="00E61A29" w:rsidRDefault="00E61A29" w:rsidP="00E61A29">
      <w:pPr>
        <w:numPr>
          <w:ilvl w:val="0"/>
          <w:numId w:val="36"/>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 xml:space="preserve">It is important to realize several key elements regarding medication reconciliation before getting started, especially as they apply to any practice </w:t>
      </w:r>
      <w:r w:rsidRPr="00E61A29">
        <w:rPr>
          <w:rFonts w:ascii="Source Sans Pro" w:eastAsia="Times New Roman" w:hAnsi="Source Sans Pro" w:cs="Times New Roman"/>
          <w:color w:val="1B1B1B"/>
          <w:kern w:val="0"/>
          <w:sz w:val="26"/>
          <w:szCs w:val="26"/>
          <w14:ligatures w14:val="none"/>
        </w:rPr>
        <w:lastRenderedPageBreak/>
        <w:t>setting (i.e., inpatient, outpatient) and any type of medical record system (i.e., electronic, paper-based, or both).</w:t>
      </w:r>
    </w:p>
    <w:p w14:paraId="607B1832" w14:textId="77777777" w:rsidR="00E61A29" w:rsidRPr="00E61A29" w:rsidRDefault="00E61A29" w:rsidP="00E61A29">
      <w:pPr>
        <w:numPr>
          <w:ilvl w:val="0"/>
          <w:numId w:val="36"/>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 xml:space="preserve">There is no electronic substitution for a thorough medication interview with patients and/or their caregivers to obtain and verify current medication regimens. If patients and/or caregivers </w:t>
      </w:r>
      <w:proofErr w:type="gramStart"/>
      <w:r w:rsidRPr="00E61A29">
        <w:rPr>
          <w:rFonts w:ascii="Source Sans Pro" w:eastAsia="Times New Roman" w:hAnsi="Source Sans Pro" w:cs="Times New Roman"/>
          <w:color w:val="1B1B1B"/>
          <w:kern w:val="0"/>
          <w:sz w:val="26"/>
          <w:szCs w:val="26"/>
          <w14:ligatures w14:val="none"/>
        </w:rPr>
        <w:t>are able to</w:t>
      </w:r>
      <w:proofErr w:type="gramEnd"/>
      <w:r w:rsidRPr="00E61A29">
        <w:rPr>
          <w:rFonts w:ascii="Source Sans Pro" w:eastAsia="Times New Roman" w:hAnsi="Source Sans Pro" w:cs="Times New Roman"/>
          <w:color w:val="1B1B1B"/>
          <w:kern w:val="0"/>
          <w:sz w:val="26"/>
          <w:szCs w:val="26"/>
          <w14:ligatures w14:val="none"/>
        </w:rPr>
        <w:t xml:space="preserve"> participate in an interview, clinicians should ask what medications patients are taking and how they are taking them to identify discrepancies or uncover potential medication problems.</w:t>
      </w:r>
    </w:p>
    <w:p w14:paraId="6D5C329E" w14:textId="77777777" w:rsidR="00E61A29" w:rsidRPr="00E61A29" w:rsidRDefault="00E61A29" w:rsidP="00E61A29">
      <w:pPr>
        <w:numPr>
          <w:ilvl w:val="0"/>
          <w:numId w:val="36"/>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Medication reconciliation should be an integral part of handoffs and communication during transitions in care.</w:t>
      </w:r>
    </w:p>
    <w:p w14:paraId="050ECC4A" w14:textId="77777777" w:rsidR="00E61A29" w:rsidRPr="00E61A29" w:rsidRDefault="00E61A29" w:rsidP="00E61A29">
      <w:pPr>
        <w:numPr>
          <w:ilvl w:val="0"/>
          <w:numId w:val="36"/>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The patient plays a key role in medication reconciliation and should be educated on the importance of managing medication information at the time of discharge or at the end of an outpatient encounter. This education should include the importance of:</w:t>
      </w:r>
    </w:p>
    <w:p w14:paraId="23BFF426" w14:textId="77777777" w:rsidR="00E61A29" w:rsidRPr="00E61A29" w:rsidRDefault="00E61A29" w:rsidP="00E61A29">
      <w:pPr>
        <w:numPr>
          <w:ilvl w:val="1"/>
          <w:numId w:val="36"/>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Giving a list to their primary care provider.</w:t>
      </w:r>
    </w:p>
    <w:p w14:paraId="1606114D" w14:textId="77777777" w:rsidR="00E61A29" w:rsidRPr="00E61A29" w:rsidRDefault="00E61A29" w:rsidP="00E61A29">
      <w:pPr>
        <w:numPr>
          <w:ilvl w:val="1"/>
          <w:numId w:val="36"/>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Updating their own list when medications are discontinued, doses are changed, or new medications (including OTC medications) are added.</w:t>
      </w:r>
    </w:p>
    <w:p w14:paraId="01D272FF" w14:textId="77777777" w:rsidR="00E61A29" w:rsidRPr="00E61A29" w:rsidRDefault="00E61A29" w:rsidP="00E61A29">
      <w:pPr>
        <w:numPr>
          <w:ilvl w:val="1"/>
          <w:numId w:val="36"/>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proofErr w:type="gramStart"/>
      <w:r w:rsidRPr="00E61A29">
        <w:rPr>
          <w:rFonts w:ascii="Source Sans Pro" w:eastAsia="Times New Roman" w:hAnsi="Source Sans Pro" w:cs="Times New Roman"/>
          <w:color w:val="1B1B1B"/>
          <w:kern w:val="0"/>
          <w:sz w:val="26"/>
          <w:szCs w:val="26"/>
          <w14:ligatures w14:val="none"/>
        </w:rPr>
        <w:t>Carrying their medication information at all times</w:t>
      </w:r>
      <w:proofErr w:type="gramEnd"/>
      <w:r w:rsidRPr="00E61A29">
        <w:rPr>
          <w:rFonts w:ascii="Source Sans Pro" w:eastAsia="Times New Roman" w:hAnsi="Source Sans Pro" w:cs="Times New Roman"/>
          <w:color w:val="1B1B1B"/>
          <w:kern w:val="0"/>
          <w:sz w:val="26"/>
          <w:szCs w:val="26"/>
          <w14:ligatures w14:val="none"/>
        </w:rPr>
        <w:t xml:space="preserve"> in case of an emergency:</w:t>
      </w:r>
    </w:p>
    <w:p w14:paraId="019240B6" w14:textId="77777777" w:rsidR="00E61A29" w:rsidRPr="00E61A29" w:rsidRDefault="00E61A29" w:rsidP="00E61A29">
      <w:pPr>
        <w:numPr>
          <w:ilvl w:val="2"/>
          <w:numId w:val="36"/>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This can help ensure patients are prepared to share an accurate medication list with their health care providers at each health care encounter.</w:t>
      </w:r>
    </w:p>
    <w:p w14:paraId="62C92FB4" w14:textId="77777777" w:rsidR="00E61A29" w:rsidRPr="00E61A29" w:rsidRDefault="00E61A29" w:rsidP="00E61A29">
      <w:pPr>
        <w:numPr>
          <w:ilvl w:val="0"/>
          <w:numId w:val="36"/>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Enlist the support of primary care physicians and community pharmacists to encourage patients to carry and update their medication list at every encounter.</w:t>
      </w:r>
    </w:p>
    <w:p w14:paraId="5B37F5F5" w14:textId="77777777" w:rsidR="00E61A29" w:rsidRPr="00E61A29" w:rsidRDefault="00E61A29" w:rsidP="00E61A29">
      <w:pPr>
        <w:numPr>
          <w:ilvl w:val="0"/>
          <w:numId w:val="36"/>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Look for ways to make medication reconciliation a value-added process. Consider integrating medication review and reconciliation in daily rounds so medications can be reviewed at the point when clinical decisions are made and modified accordingly.</w:t>
      </w:r>
    </w:p>
    <w:p w14:paraId="0CE3A27B" w14:textId="77777777" w:rsidR="00E61A29" w:rsidRPr="00E61A29" w:rsidRDefault="00E61A29" w:rsidP="00E61A29">
      <w:pPr>
        <w:spacing w:after="0" w:line="240" w:lineRule="auto"/>
        <w:rPr>
          <w:rFonts w:ascii="Times New Roman" w:eastAsia="Times New Roman" w:hAnsi="Times New Roman" w:cs="Times New Roman"/>
          <w:kern w:val="0"/>
          <w14:ligatures w14:val="none"/>
        </w:rPr>
      </w:pPr>
    </w:p>
    <w:p w14:paraId="3D347660" w14:textId="77777777" w:rsidR="00E61A29" w:rsidRPr="00E61A29" w:rsidRDefault="00E61A29" w:rsidP="00E61A29">
      <w:pPr>
        <w:shd w:val="clear" w:color="auto" w:fill="FFFFFF"/>
        <w:spacing w:after="100" w:afterAutospacing="1" w:line="312" w:lineRule="atLeast"/>
        <w:outlineLvl w:val="1"/>
        <w:rPr>
          <w:rFonts w:ascii="Arial" w:eastAsia="Times New Roman" w:hAnsi="Arial" w:cs="Arial"/>
          <w:b/>
          <w:bCs/>
          <w:color w:val="1B1B1B"/>
          <w:kern w:val="0"/>
          <w:sz w:val="45"/>
          <w:szCs w:val="45"/>
          <w14:ligatures w14:val="none"/>
        </w:rPr>
      </w:pPr>
      <w:r w:rsidRPr="00E61A29">
        <w:rPr>
          <w:rFonts w:ascii="Arial" w:eastAsia="Times New Roman" w:hAnsi="Arial" w:cs="Arial"/>
          <w:b/>
          <w:bCs/>
          <w:color w:val="1B1B1B"/>
          <w:kern w:val="0"/>
          <w:sz w:val="45"/>
          <w:szCs w:val="45"/>
          <w14:ligatures w14:val="none"/>
        </w:rPr>
        <w:t>Chapter 4. Developing and Pilot Testing Change: Implementing the Medication Reconciliation Process</w:t>
      </w:r>
    </w:p>
    <w:p w14:paraId="478C313F" w14:textId="77777777" w:rsidR="00E61A29" w:rsidRPr="00E61A29" w:rsidRDefault="00E61A29" w:rsidP="00E61A29">
      <w:pPr>
        <w:shd w:val="clear" w:color="auto" w:fill="FFFFFF"/>
        <w:spacing w:after="100" w:afterAutospacing="1" w:line="312" w:lineRule="atLeast"/>
        <w:outlineLvl w:val="2"/>
        <w:rPr>
          <w:rFonts w:ascii="Arial" w:eastAsia="Times New Roman" w:hAnsi="Arial" w:cs="Arial"/>
          <w:b/>
          <w:bCs/>
          <w:color w:val="1B1B1B"/>
          <w:kern w:val="0"/>
          <w:sz w:val="36"/>
          <w:szCs w:val="36"/>
          <w14:ligatures w14:val="none"/>
        </w:rPr>
      </w:pPr>
      <w:r w:rsidRPr="00E61A29">
        <w:rPr>
          <w:rFonts w:ascii="Arial" w:eastAsia="Times New Roman" w:hAnsi="Arial" w:cs="Arial"/>
          <w:b/>
          <w:bCs/>
          <w:color w:val="1B1B1B"/>
          <w:kern w:val="0"/>
          <w:sz w:val="36"/>
          <w:szCs w:val="36"/>
          <w14:ligatures w14:val="none"/>
        </w:rPr>
        <w:lastRenderedPageBreak/>
        <w:t>Pilot-Testing the Solution</w:t>
      </w:r>
    </w:p>
    <w:p w14:paraId="684A14E0"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 xml:space="preserve">If you have applied </w:t>
      </w:r>
      <w:proofErr w:type="gramStart"/>
      <w:r w:rsidRPr="00E61A29">
        <w:rPr>
          <w:rFonts w:ascii="Source Sans Pro" w:eastAsia="Times New Roman" w:hAnsi="Source Sans Pro" w:cs="Times New Roman"/>
          <w:color w:val="1B1B1B"/>
          <w:kern w:val="0"/>
          <w:sz w:val="26"/>
          <w:szCs w:val="26"/>
          <w14:ligatures w14:val="none"/>
        </w:rPr>
        <w:t>all of</w:t>
      </w:r>
      <w:proofErr w:type="gramEnd"/>
      <w:r w:rsidRPr="00E61A29">
        <w:rPr>
          <w:rFonts w:ascii="Source Sans Pro" w:eastAsia="Times New Roman" w:hAnsi="Source Sans Pro" w:cs="Times New Roman"/>
          <w:color w:val="1B1B1B"/>
          <w:kern w:val="0"/>
          <w:sz w:val="26"/>
          <w:szCs w:val="26"/>
          <w14:ligatures w14:val="none"/>
        </w:rPr>
        <w:t xml:space="preserve"> the steps and guiding principles outlined in Chapters 1-3 to your own work, you should have designed or redesigned medication reconciliation process that addresses gaps identified in the flowchart and assessment of your existing process, while helping to maintain current </w:t>
      </w:r>
      <w:proofErr w:type="gramStart"/>
      <w:r w:rsidRPr="00E61A29">
        <w:rPr>
          <w:rFonts w:ascii="Source Sans Pro" w:eastAsia="Times New Roman" w:hAnsi="Source Sans Pro" w:cs="Times New Roman"/>
          <w:color w:val="1B1B1B"/>
          <w:kern w:val="0"/>
          <w:sz w:val="26"/>
          <w:szCs w:val="26"/>
          <w14:ligatures w14:val="none"/>
        </w:rPr>
        <w:t>work flow</w:t>
      </w:r>
      <w:proofErr w:type="gramEnd"/>
      <w:r w:rsidRPr="00E61A29">
        <w:rPr>
          <w:rFonts w:ascii="Source Sans Pro" w:eastAsia="Times New Roman" w:hAnsi="Source Sans Pro" w:cs="Times New Roman"/>
          <w:color w:val="1B1B1B"/>
          <w:kern w:val="0"/>
          <w:sz w:val="26"/>
          <w:szCs w:val="26"/>
          <w14:ligatures w14:val="none"/>
        </w:rPr>
        <w:t>. At this point, resist the urge to implement the redesigned process facility-wide and instead, pilot test the solution.</w:t>
      </w:r>
    </w:p>
    <w:p w14:paraId="7D0FD127"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 xml:space="preserve">A pilot test provides an opportunity to implement a new process on a small scale and receive input. Any weaknesses in the process can be addressed before implementation </w:t>
      </w:r>
      <w:proofErr w:type="gramStart"/>
      <w:r w:rsidRPr="00E61A29">
        <w:rPr>
          <w:rFonts w:ascii="Source Sans Pro" w:eastAsia="Times New Roman" w:hAnsi="Source Sans Pro" w:cs="Times New Roman"/>
          <w:color w:val="1B1B1B"/>
          <w:kern w:val="0"/>
          <w:sz w:val="26"/>
          <w:szCs w:val="26"/>
          <w14:ligatures w14:val="none"/>
        </w:rPr>
        <w:t>facility-wide</w:t>
      </w:r>
      <w:proofErr w:type="gramEnd"/>
      <w:r w:rsidRPr="00E61A29">
        <w:rPr>
          <w:rFonts w:ascii="Source Sans Pro" w:eastAsia="Times New Roman" w:hAnsi="Source Sans Pro" w:cs="Times New Roman"/>
          <w:color w:val="1B1B1B"/>
          <w:kern w:val="0"/>
          <w:sz w:val="26"/>
          <w:szCs w:val="26"/>
          <w14:ligatures w14:val="none"/>
        </w:rPr>
        <w:t xml:space="preserve">. While this process may seem like it will delay improvement overall, it can </w:t>
      </w:r>
      <w:proofErr w:type="gramStart"/>
      <w:r w:rsidRPr="00E61A29">
        <w:rPr>
          <w:rFonts w:ascii="Source Sans Pro" w:eastAsia="Times New Roman" w:hAnsi="Source Sans Pro" w:cs="Times New Roman"/>
          <w:color w:val="1B1B1B"/>
          <w:kern w:val="0"/>
          <w:sz w:val="26"/>
          <w:szCs w:val="26"/>
          <w14:ligatures w14:val="none"/>
        </w:rPr>
        <w:t>actually ensure</w:t>
      </w:r>
      <w:proofErr w:type="gramEnd"/>
      <w:r w:rsidRPr="00E61A29">
        <w:rPr>
          <w:rFonts w:ascii="Source Sans Pro" w:eastAsia="Times New Roman" w:hAnsi="Source Sans Pro" w:cs="Times New Roman"/>
          <w:color w:val="1B1B1B"/>
          <w:kern w:val="0"/>
          <w:sz w:val="26"/>
          <w:szCs w:val="26"/>
          <w14:ligatures w14:val="none"/>
        </w:rPr>
        <w:t xml:space="preserve"> success when you implement </w:t>
      </w:r>
      <w:proofErr w:type="gramStart"/>
      <w:r w:rsidRPr="00E61A29">
        <w:rPr>
          <w:rFonts w:ascii="Source Sans Pro" w:eastAsia="Times New Roman" w:hAnsi="Source Sans Pro" w:cs="Times New Roman"/>
          <w:color w:val="1B1B1B"/>
          <w:kern w:val="0"/>
          <w:sz w:val="26"/>
          <w:szCs w:val="26"/>
          <w14:ligatures w14:val="none"/>
        </w:rPr>
        <w:t>facility-wide</w:t>
      </w:r>
      <w:proofErr w:type="gramEnd"/>
      <w:r w:rsidRPr="00E61A29">
        <w:rPr>
          <w:rFonts w:ascii="Source Sans Pro" w:eastAsia="Times New Roman" w:hAnsi="Source Sans Pro" w:cs="Times New Roman"/>
          <w:color w:val="1B1B1B"/>
          <w:kern w:val="0"/>
          <w:sz w:val="26"/>
          <w:szCs w:val="26"/>
          <w14:ligatures w14:val="none"/>
        </w:rPr>
        <w:t>. Before instituting the pilot, you should consider the following questions:</w:t>
      </w:r>
    </w:p>
    <w:p w14:paraId="62D7C811" w14:textId="77777777" w:rsidR="00E61A29" w:rsidRPr="00E61A29" w:rsidRDefault="00E61A29" w:rsidP="00E61A29">
      <w:pPr>
        <w:numPr>
          <w:ilvl w:val="0"/>
          <w:numId w:val="37"/>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Where would you like to pilot test the process?</w:t>
      </w:r>
    </w:p>
    <w:p w14:paraId="0B231A9B" w14:textId="77777777" w:rsidR="00E61A29" w:rsidRPr="00E61A29" w:rsidRDefault="00E61A29" w:rsidP="00E61A29">
      <w:pPr>
        <w:numPr>
          <w:ilvl w:val="0"/>
          <w:numId w:val="37"/>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Are the areas chosen for the pilot already engaged and bought into the process?</w:t>
      </w:r>
    </w:p>
    <w:p w14:paraId="5CC06B66" w14:textId="77777777" w:rsidR="00E61A29" w:rsidRPr="00E61A29" w:rsidRDefault="00E61A29" w:rsidP="00E61A29">
      <w:pPr>
        <w:numPr>
          <w:ilvl w:val="0"/>
          <w:numId w:val="37"/>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What mechanism will be in place to give and receive feedback from frontline staff during the pilot?</w:t>
      </w:r>
    </w:p>
    <w:p w14:paraId="5CE4FFA5" w14:textId="77777777" w:rsidR="00E61A29" w:rsidRPr="00E61A29" w:rsidRDefault="00E61A29" w:rsidP="00E61A29">
      <w:pPr>
        <w:numPr>
          <w:ilvl w:val="0"/>
          <w:numId w:val="37"/>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What structure will be put in place to support staff during the pilot period?</w:t>
      </w:r>
    </w:p>
    <w:p w14:paraId="583043BE" w14:textId="77777777" w:rsidR="00E61A29" w:rsidRPr="00E61A29" w:rsidRDefault="00E61A29" w:rsidP="00E61A29">
      <w:pPr>
        <w:numPr>
          <w:ilvl w:val="0"/>
          <w:numId w:val="37"/>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What roles can the leadership team play in the pilot?</w:t>
      </w:r>
    </w:p>
    <w:p w14:paraId="4EA3B1F4" w14:textId="77777777" w:rsidR="00E61A29" w:rsidRPr="00E61A29" w:rsidRDefault="00E61A29" w:rsidP="00E61A29">
      <w:pPr>
        <w:numPr>
          <w:ilvl w:val="0"/>
          <w:numId w:val="37"/>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Are the stakeholders engaged, and have roadblocks been identified and removed prior to piloting in those practice settings?</w:t>
      </w:r>
    </w:p>
    <w:p w14:paraId="78EEC6FD" w14:textId="77777777" w:rsidR="00E61A29" w:rsidRPr="00E61A29" w:rsidRDefault="00E61A29" w:rsidP="00E61A29">
      <w:pPr>
        <w:numPr>
          <w:ilvl w:val="0"/>
          <w:numId w:val="37"/>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What are the process measures (i.e., quantity, adherence to process) to determine compliance during the pilot?</w:t>
      </w:r>
    </w:p>
    <w:p w14:paraId="7B54C095" w14:textId="77777777" w:rsidR="00E61A29" w:rsidRPr="00E61A29" w:rsidRDefault="00E61A29" w:rsidP="00E61A29">
      <w:pPr>
        <w:numPr>
          <w:ilvl w:val="0"/>
          <w:numId w:val="37"/>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What are the quality measures to determine impact on patient safety?</w:t>
      </w:r>
    </w:p>
    <w:p w14:paraId="7D6D0AE3"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There are many potential settings for pilot testing. Some ideas include:</w:t>
      </w:r>
    </w:p>
    <w:p w14:paraId="5B47A2EB" w14:textId="77777777" w:rsidR="00E61A29" w:rsidRPr="00E61A29" w:rsidRDefault="00E61A29" w:rsidP="00E61A29">
      <w:pPr>
        <w:numPr>
          <w:ilvl w:val="0"/>
          <w:numId w:val="38"/>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A unit that directly admits patients.</w:t>
      </w:r>
    </w:p>
    <w:p w14:paraId="66420655" w14:textId="77777777" w:rsidR="00E61A29" w:rsidRPr="00E61A29" w:rsidRDefault="00E61A29" w:rsidP="00E61A29">
      <w:pPr>
        <w:numPr>
          <w:ilvl w:val="0"/>
          <w:numId w:val="38"/>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One medicine unit and one surgical unit.</w:t>
      </w:r>
    </w:p>
    <w:p w14:paraId="0DF9D97A" w14:textId="77777777" w:rsidR="00E61A29" w:rsidRPr="00E61A29" w:rsidRDefault="00E61A29" w:rsidP="00E61A29">
      <w:pPr>
        <w:numPr>
          <w:ilvl w:val="0"/>
          <w:numId w:val="38"/>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One team of physicians or one service, such as hospitalists.</w:t>
      </w:r>
    </w:p>
    <w:p w14:paraId="4518D4B1" w14:textId="77777777" w:rsidR="00E61A29" w:rsidRPr="00E61A29" w:rsidRDefault="00E61A29" w:rsidP="00E61A29">
      <w:pPr>
        <w:numPr>
          <w:ilvl w:val="0"/>
          <w:numId w:val="38"/>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Engaging a few clinicians to use the form for a few days on their patients.</w:t>
      </w:r>
    </w:p>
    <w:p w14:paraId="64A46D0E"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lastRenderedPageBreak/>
        <w:t xml:space="preserve">Regardless of the approach, the goal is to test the process for a short period of time—in most cases, less than a week or within a certain timeframe contingent on resources and scope of the project—to identify and correct major gaps within the </w:t>
      </w:r>
      <w:proofErr w:type="gramStart"/>
      <w:r w:rsidRPr="00E61A29">
        <w:rPr>
          <w:rFonts w:ascii="Source Sans Pro" w:eastAsia="Times New Roman" w:hAnsi="Source Sans Pro" w:cs="Times New Roman"/>
          <w:color w:val="1B1B1B"/>
          <w:kern w:val="0"/>
          <w:sz w:val="26"/>
          <w:szCs w:val="26"/>
          <w14:ligatures w14:val="none"/>
        </w:rPr>
        <w:t>process, and</w:t>
      </w:r>
      <w:proofErr w:type="gramEnd"/>
      <w:r w:rsidRPr="00E61A29">
        <w:rPr>
          <w:rFonts w:ascii="Source Sans Pro" w:eastAsia="Times New Roman" w:hAnsi="Source Sans Pro" w:cs="Times New Roman"/>
          <w:color w:val="1B1B1B"/>
          <w:kern w:val="0"/>
          <w:sz w:val="26"/>
          <w:szCs w:val="26"/>
          <w14:ligatures w14:val="none"/>
        </w:rPr>
        <w:t xml:space="preserve"> confirm its utility within current workflow. The process should continue to be </w:t>
      </w:r>
      <w:proofErr w:type="gramStart"/>
      <w:r w:rsidRPr="00E61A29">
        <w:rPr>
          <w:rFonts w:ascii="Source Sans Pro" w:eastAsia="Times New Roman" w:hAnsi="Source Sans Pro" w:cs="Times New Roman"/>
          <w:color w:val="1B1B1B"/>
          <w:kern w:val="0"/>
          <w:sz w:val="26"/>
          <w:szCs w:val="26"/>
          <w14:ligatures w14:val="none"/>
        </w:rPr>
        <w:t>enhanced</w:t>
      </w:r>
      <w:proofErr w:type="gramEnd"/>
      <w:r w:rsidRPr="00E61A29">
        <w:rPr>
          <w:rFonts w:ascii="Source Sans Pro" w:eastAsia="Times New Roman" w:hAnsi="Source Sans Pro" w:cs="Times New Roman"/>
          <w:color w:val="1B1B1B"/>
          <w:kern w:val="0"/>
          <w:sz w:val="26"/>
          <w:szCs w:val="26"/>
          <w14:ligatures w14:val="none"/>
        </w:rPr>
        <w:t xml:space="preserve"> and the pilot testing expanded as appropriate.</w:t>
      </w:r>
    </w:p>
    <w:p w14:paraId="12F89B5D"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Although design team members are often eager to pilot their work, you should also include frontline staff who were not involved in the design. They will be able to:</w:t>
      </w:r>
    </w:p>
    <w:p w14:paraId="666CFA20" w14:textId="77777777" w:rsidR="00E61A29" w:rsidRPr="00E61A29" w:rsidRDefault="00E61A29" w:rsidP="00E61A29">
      <w:pPr>
        <w:numPr>
          <w:ilvl w:val="0"/>
          <w:numId w:val="39"/>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Provide additional insight into how intuitive the new design is.</w:t>
      </w:r>
    </w:p>
    <w:p w14:paraId="7DC4986E" w14:textId="77777777" w:rsidR="00E61A29" w:rsidRPr="00E61A29" w:rsidRDefault="00E61A29" w:rsidP="00E61A29">
      <w:pPr>
        <w:numPr>
          <w:ilvl w:val="0"/>
          <w:numId w:val="39"/>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Identify training requirements.</w:t>
      </w:r>
    </w:p>
    <w:p w14:paraId="7A18A8FF" w14:textId="77777777" w:rsidR="00E61A29" w:rsidRPr="00E61A29" w:rsidRDefault="00E61A29" w:rsidP="00E61A29">
      <w:pPr>
        <w:numPr>
          <w:ilvl w:val="0"/>
          <w:numId w:val="39"/>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Identify additional areas for improvement.</w:t>
      </w:r>
    </w:p>
    <w:p w14:paraId="1F183434"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To allow for feedback during a pilot, small focus groups can be held on nursing units for approximately 15-30 minutes. This may be an effective means to exchange dialog about the revised process. This could also be used as an opportunity to thank those who agreed to participate in the pilot. </w:t>
      </w:r>
      <w:bookmarkStart w:id="10" w:name="fig8"/>
      <w:r w:rsidRPr="00E61A29">
        <w:rPr>
          <w:rFonts w:ascii="Source Sans Pro" w:eastAsia="Times New Roman" w:hAnsi="Source Sans Pro" w:cs="Times New Roman"/>
          <w:color w:val="1B1B1B"/>
          <w:kern w:val="0"/>
          <w:sz w:val="26"/>
          <w:szCs w:val="26"/>
          <w14:ligatures w14:val="none"/>
        </w:rPr>
        <w:t> </w:t>
      </w:r>
      <w:bookmarkEnd w:id="10"/>
    </w:p>
    <w:p w14:paraId="7E976237"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Sample questions that may be used during focus groups with physicians are provided in </w:t>
      </w:r>
      <w:hyperlink r:id="rId37" w:history="1">
        <w:r w:rsidRPr="00E61A29">
          <w:rPr>
            <w:rFonts w:ascii="Source Sans Pro" w:eastAsia="Times New Roman" w:hAnsi="Source Sans Pro" w:cs="Times New Roman"/>
            <w:color w:val="005B94"/>
            <w:kern w:val="0"/>
            <w:sz w:val="26"/>
            <w:szCs w:val="26"/>
            <w:u w:val="single"/>
            <w14:ligatures w14:val="none"/>
          </w:rPr>
          <w:t>Figure 8</w:t>
        </w:r>
      </w:hyperlink>
      <w:r w:rsidRPr="00E61A29">
        <w:rPr>
          <w:rFonts w:ascii="Source Sans Pro" w:eastAsia="Times New Roman" w:hAnsi="Source Sans Pro" w:cs="Times New Roman"/>
          <w:color w:val="1B1B1B"/>
          <w:kern w:val="0"/>
          <w:sz w:val="26"/>
          <w:szCs w:val="26"/>
          <w14:ligatures w14:val="none"/>
        </w:rPr>
        <w:t>. These can be adapted for use with various disciplines and practice settings to elicit feedback on the process during the pilot phase.</w:t>
      </w:r>
    </w:p>
    <w:p w14:paraId="109FC215"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Incorporating a structured, robust auditing and feedback method to identify design flaws and to understand underlying root causes for medication reconciliation failures (i.e., knowledge deficits, lack of buy-in, system design issues, etc.) is important during the pilot. It is equally important to highlight successes and compliment individual contributions. For more information on measurement, go to </w:t>
      </w:r>
      <w:hyperlink r:id="rId38" w:history="1">
        <w:r w:rsidRPr="00E61A29">
          <w:rPr>
            <w:rFonts w:ascii="Source Sans Pro" w:eastAsia="Times New Roman" w:hAnsi="Source Sans Pro" w:cs="Times New Roman"/>
            <w:color w:val="005B94"/>
            <w:kern w:val="0"/>
            <w:sz w:val="26"/>
            <w:szCs w:val="26"/>
            <w:u w:val="single"/>
            <w14:ligatures w14:val="none"/>
          </w:rPr>
          <w:t>Chapter 6: Assessment and Process Evaluation</w:t>
        </w:r>
      </w:hyperlink>
      <w:r w:rsidRPr="00E61A29">
        <w:rPr>
          <w:rFonts w:ascii="Source Sans Pro" w:eastAsia="Times New Roman" w:hAnsi="Source Sans Pro" w:cs="Times New Roman"/>
          <w:color w:val="1B1B1B"/>
          <w:kern w:val="0"/>
          <w:sz w:val="26"/>
          <w:szCs w:val="26"/>
          <w14:ligatures w14:val="none"/>
        </w:rPr>
        <w:t>.</w:t>
      </w:r>
    </w:p>
    <w:p w14:paraId="5BE55AE5" w14:textId="77777777" w:rsidR="00E61A29" w:rsidRPr="00E61A29" w:rsidRDefault="00E61A29" w:rsidP="00E61A29">
      <w:pPr>
        <w:shd w:val="clear" w:color="auto" w:fill="FFFFFF"/>
        <w:spacing w:after="100" w:afterAutospacing="1" w:line="312" w:lineRule="atLeast"/>
        <w:outlineLvl w:val="2"/>
        <w:rPr>
          <w:rFonts w:ascii="Arial" w:eastAsia="Times New Roman" w:hAnsi="Arial" w:cs="Arial"/>
          <w:b/>
          <w:bCs/>
          <w:color w:val="1B1B1B"/>
          <w:kern w:val="0"/>
          <w:sz w:val="36"/>
          <w:szCs w:val="36"/>
          <w14:ligatures w14:val="none"/>
        </w:rPr>
      </w:pPr>
      <w:r w:rsidRPr="00E61A29">
        <w:rPr>
          <w:rFonts w:ascii="Arial" w:eastAsia="Times New Roman" w:hAnsi="Arial" w:cs="Arial"/>
          <w:b/>
          <w:bCs/>
          <w:color w:val="1B1B1B"/>
          <w:kern w:val="0"/>
          <w:sz w:val="36"/>
          <w:szCs w:val="36"/>
          <w14:ligatures w14:val="none"/>
        </w:rPr>
        <w:t>Preparing for Implementation</w:t>
      </w:r>
    </w:p>
    <w:p w14:paraId="08DCF709"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You have designed the process, piloted-tested the solution, and made any necessary enhancements. Now you are ready for a full-scale rollout. Some may choose to develop a committee to handle facility-wide implementation; others may use the original team to carry out implementation. There are advantages and disadvantages to both approaches:</w:t>
      </w:r>
    </w:p>
    <w:p w14:paraId="1FFDC0B4" w14:textId="77777777" w:rsidR="00E61A29" w:rsidRPr="00E61A29" w:rsidRDefault="00E61A29" w:rsidP="00E61A29">
      <w:pPr>
        <w:numPr>
          <w:ilvl w:val="0"/>
          <w:numId w:val="40"/>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lastRenderedPageBreak/>
        <w:t>Design team members may find it difficult to accept when "their design" isn't working as planned, despite pilot testing.</w:t>
      </w:r>
    </w:p>
    <w:p w14:paraId="64D68837" w14:textId="77777777" w:rsidR="00E61A29" w:rsidRPr="00E61A29" w:rsidRDefault="00E61A29" w:rsidP="00E61A29">
      <w:pPr>
        <w:numPr>
          <w:ilvl w:val="0"/>
          <w:numId w:val="40"/>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New members may be more open to change and may contribute new suggestions for improvement.</w:t>
      </w:r>
    </w:p>
    <w:p w14:paraId="1534831F" w14:textId="77777777" w:rsidR="00E61A29" w:rsidRPr="00E61A29" w:rsidRDefault="00E61A29" w:rsidP="00E61A29">
      <w:pPr>
        <w:numPr>
          <w:ilvl w:val="0"/>
          <w:numId w:val="40"/>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Depending on the scope of the project, additional members, identified through a stakeholder analysis, may be needed to help facilitate implementation.</w:t>
      </w:r>
    </w:p>
    <w:p w14:paraId="1A96E746"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As you move into the implementation phase, you may want to consider developing an implementation charter to supplement the design charter. This will provide a framework for:</w:t>
      </w:r>
    </w:p>
    <w:p w14:paraId="2A3325F3" w14:textId="77777777" w:rsidR="00E61A29" w:rsidRPr="00E61A29" w:rsidRDefault="00E61A29" w:rsidP="00E61A29">
      <w:pPr>
        <w:numPr>
          <w:ilvl w:val="0"/>
          <w:numId w:val="41"/>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Defining implementation goals and objectives.</w:t>
      </w:r>
    </w:p>
    <w:p w14:paraId="074393A1" w14:textId="77777777" w:rsidR="00E61A29" w:rsidRPr="00E61A29" w:rsidRDefault="00E61A29" w:rsidP="00E61A29">
      <w:pPr>
        <w:numPr>
          <w:ilvl w:val="0"/>
          <w:numId w:val="41"/>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Identifying key metrics for implementation.</w:t>
      </w:r>
    </w:p>
    <w:p w14:paraId="46832B61" w14:textId="77777777" w:rsidR="00E61A29" w:rsidRPr="00E61A29" w:rsidRDefault="00E61A29" w:rsidP="00E61A29">
      <w:pPr>
        <w:numPr>
          <w:ilvl w:val="0"/>
          <w:numId w:val="41"/>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Determining implementation resources and support system requirements.</w:t>
      </w:r>
    </w:p>
    <w:p w14:paraId="3124024E" w14:textId="77777777" w:rsidR="00E61A29" w:rsidRPr="00E61A29" w:rsidRDefault="00E61A29" w:rsidP="00E61A29">
      <w:pPr>
        <w:numPr>
          <w:ilvl w:val="0"/>
          <w:numId w:val="41"/>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Developing a training curriculum.</w:t>
      </w:r>
    </w:p>
    <w:p w14:paraId="4D792A8D" w14:textId="77777777" w:rsidR="00E61A29" w:rsidRPr="00E61A29" w:rsidRDefault="00E61A29" w:rsidP="00E61A29">
      <w:pPr>
        <w:numPr>
          <w:ilvl w:val="0"/>
          <w:numId w:val="41"/>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 xml:space="preserve">Establishing continuous feedback mechanisms for receiving suggestions from, and providing </w:t>
      </w:r>
      <w:proofErr w:type="spellStart"/>
      <w:r w:rsidRPr="00E61A29">
        <w:rPr>
          <w:rFonts w:ascii="Source Sans Pro" w:eastAsia="Times New Roman" w:hAnsi="Source Sans Pro" w:cs="Times New Roman"/>
          <w:color w:val="1B1B1B"/>
          <w:kern w:val="0"/>
          <w:sz w:val="26"/>
          <w:szCs w:val="26"/>
          <w14:ligatures w14:val="none"/>
        </w:rPr>
        <w:t>followup</w:t>
      </w:r>
      <w:proofErr w:type="spellEnd"/>
      <w:r w:rsidRPr="00E61A29">
        <w:rPr>
          <w:rFonts w:ascii="Source Sans Pro" w:eastAsia="Times New Roman" w:hAnsi="Source Sans Pro" w:cs="Times New Roman"/>
          <w:color w:val="1B1B1B"/>
          <w:kern w:val="0"/>
          <w:sz w:val="26"/>
          <w:szCs w:val="26"/>
          <w14:ligatures w14:val="none"/>
        </w:rPr>
        <w:t xml:space="preserve"> to, staff throughout implementation.</w:t>
      </w:r>
    </w:p>
    <w:p w14:paraId="3C623040" w14:textId="77777777" w:rsidR="00E61A29" w:rsidRPr="00E61A29" w:rsidRDefault="00E61A29" w:rsidP="00E61A29">
      <w:pPr>
        <w:shd w:val="clear" w:color="auto" w:fill="FFFFFF"/>
        <w:spacing w:after="100" w:afterAutospacing="1" w:line="312" w:lineRule="atLeast"/>
        <w:outlineLvl w:val="2"/>
        <w:rPr>
          <w:rFonts w:ascii="Arial" w:eastAsia="Times New Roman" w:hAnsi="Arial" w:cs="Arial"/>
          <w:b/>
          <w:bCs/>
          <w:color w:val="1B1B1B"/>
          <w:kern w:val="0"/>
          <w:sz w:val="36"/>
          <w:szCs w:val="36"/>
          <w14:ligatures w14:val="none"/>
        </w:rPr>
      </w:pPr>
      <w:r w:rsidRPr="00E61A29">
        <w:rPr>
          <w:rFonts w:ascii="Arial" w:eastAsia="Times New Roman" w:hAnsi="Arial" w:cs="Arial"/>
          <w:b/>
          <w:bCs/>
          <w:color w:val="1B1B1B"/>
          <w:kern w:val="0"/>
          <w:sz w:val="36"/>
          <w:szCs w:val="36"/>
          <w14:ligatures w14:val="none"/>
        </w:rPr>
        <w:t>Developing the Implementation Strategy</w:t>
      </w:r>
    </w:p>
    <w:p w14:paraId="1DE1D69A"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b/>
          <w:bCs/>
          <w:color w:val="1B1B1B"/>
          <w:kern w:val="0"/>
          <w:sz w:val="26"/>
          <w:szCs w:val="26"/>
          <w14:ligatures w14:val="none"/>
        </w:rPr>
        <w:t>Planning and Communication of Implementation Strategy</w:t>
      </w:r>
      <w:r w:rsidRPr="00E61A29">
        <w:rPr>
          <w:rFonts w:ascii="Source Sans Pro" w:eastAsia="Times New Roman" w:hAnsi="Source Sans Pro" w:cs="Times New Roman"/>
          <w:color w:val="1B1B1B"/>
          <w:kern w:val="0"/>
          <w:sz w:val="26"/>
          <w:szCs w:val="26"/>
          <w14:ligatures w14:val="none"/>
        </w:rPr>
        <w:t>. To successfully coordinate an implementation strategy, mandatory meetings, led by the leadership team, should be held with stakeholders representing physicians (i.e., clinical program leaders, departmental chiefs, and chairs) and patient care (i.e., nursing directors and managers, pharmacy director and managers).</w:t>
      </w:r>
    </w:p>
    <w:p w14:paraId="7BF29321"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 xml:space="preserve">During this meeting, implementation plans and training curricula can be presented. A multidisciplinary training approach (i.e., physicians, nurses, and pharmacists attending training classes together) should be recommended and is encouraged. </w:t>
      </w:r>
      <w:proofErr w:type="gramStart"/>
      <w:r w:rsidRPr="00E61A29">
        <w:rPr>
          <w:rFonts w:ascii="Source Sans Pro" w:eastAsia="Times New Roman" w:hAnsi="Source Sans Pro" w:cs="Times New Roman"/>
          <w:color w:val="1B1B1B"/>
          <w:kern w:val="0"/>
          <w:sz w:val="26"/>
          <w:szCs w:val="26"/>
          <w14:ligatures w14:val="none"/>
        </w:rPr>
        <w:t>A number of</w:t>
      </w:r>
      <w:proofErr w:type="gramEnd"/>
      <w:r w:rsidRPr="00E61A29">
        <w:rPr>
          <w:rFonts w:ascii="Source Sans Pro" w:eastAsia="Times New Roman" w:hAnsi="Source Sans Pro" w:cs="Times New Roman"/>
          <w:color w:val="1B1B1B"/>
          <w:kern w:val="0"/>
          <w:sz w:val="26"/>
          <w:szCs w:val="26"/>
          <w14:ligatures w14:val="none"/>
        </w:rPr>
        <w:t xml:space="preserve"> dates and time periods should be determined based on the needs and availability of various disciplines. Classes should be offered early in the morning, during the day, in the evening, and on weekends to accommodate a variety of schedules.</w:t>
      </w:r>
    </w:p>
    <w:p w14:paraId="24035A3E"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 xml:space="preserve">Email reminders and memos sent from discipline-specific leadership to staff may be an effective method to increase attendance and participation while highlighting </w:t>
      </w:r>
      <w:r w:rsidRPr="00E61A29">
        <w:rPr>
          <w:rFonts w:ascii="Source Sans Pro" w:eastAsia="Times New Roman" w:hAnsi="Source Sans Pro" w:cs="Times New Roman"/>
          <w:color w:val="1B1B1B"/>
          <w:kern w:val="0"/>
          <w:sz w:val="26"/>
          <w:szCs w:val="26"/>
          <w14:ligatures w14:val="none"/>
        </w:rPr>
        <w:lastRenderedPageBreak/>
        <w:t>leadership support for the process. The </w:t>
      </w:r>
      <w:hyperlink r:id="rId39" w:history="1">
        <w:r w:rsidRPr="00E61A29">
          <w:rPr>
            <w:rFonts w:ascii="Source Sans Pro" w:eastAsia="Times New Roman" w:hAnsi="Source Sans Pro" w:cs="Times New Roman"/>
            <w:color w:val="005B94"/>
            <w:kern w:val="0"/>
            <w:sz w:val="26"/>
            <w:szCs w:val="26"/>
            <w:u w:val="single"/>
            <w14:ligatures w14:val="none"/>
          </w:rPr>
          <w:t>Appendix</w:t>
        </w:r>
      </w:hyperlink>
      <w:r w:rsidRPr="00E61A29">
        <w:rPr>
          <w:rFonts w:ascii="Source Sans Pro" w:eastAsia="Times New Roman" w:hAnsi="Source Sans Pro" w:cs="Times New Roman"/>
          <w:color w:val="1B1B1B"/>
          <w:kern w:val="0"/>
          <w:sz w:val="26"/>
          <w:szCs w:val="26"/>
          <w14:ligatures w14:val="none"/>
        </w:rPr>
        <w:t> offers customizable memos to announce and promote training sessions and educational efforts to the staff: "Sample Letter to Discipline-Specific Leaders on Meeting Regarding Training and Implementation Strategy for Medication Reconciliation" and "Sample Communication from Discipline-Specific Leadership to Staff on Medication Reconciliation Educational Training Sessions."</w:t>
      </w:r>
    </w:p>
    <w:p w14:paraId="2FA9BCBD"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b/>
          <w:bCs/>
          <w:color w:val="1B1B1B"/>
          <w:kern w:val="0"/>
          <w:sz w:val="26"/>
          <w:szCs w:val="26"/>
          <w14:ligatures w14:val="none"/>
        </w:rPr>
        <w:t>Rollout Strategies</w:t>
      </w:r>
      <w:r w:rsidRPr="00E61A29">
        <w:rPr>
          <w:rFonts w:ascii="Source Sans Pro" w:eastAsia="Times New Roman" w:hAnsi="Source Sans Pro" w:cs="Times New Roman"/>
          <w:color w:val="1B1B1B"/>
          <w:kern w:val="0"/>
          <w:sz w:val="26"/>
          <w:szCs w:val="26"/>
          <w14:ligatures w14:val="none"/>
        </w:rPr>
        <w:t>. Just like pilot testing, there are several different strategies to roll out the process. Depending on the scope of the project, some implementation strategies may include:</w:t>
      </w:r>
    </w:p>
    <w:p w14:paraId="1DBA6BB0" w14:textId="77777777" w:rsidR="00E61A29" w:rsidRPr="00E61A29" w:rsidRDefault="00E61A29" w:rsidP="00E61A29">
      <w:pPr>
        <w:numPr>
          <w:ilvl w:val="0"/>
          <w:numId w:val="42"/>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By unit (e.g., all ICUs).</w:t>
      </w:r>
    </w:p>
    <w:p w14:paraId="13C20E4A" w14:textId="77777777" w:rsidR="00E61A29" w:rsidRPr="00E61A29" w:rsidRDefault="00E61A29" w:rsidP="00E61A29">
      <w:pPr>
        <w:numPr>
          <w:ilvl w:val="0"/>
          <w:numId w:val="42"/>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By service (e.g., surgical services).</w:t>
      </w:r>
    </w:p>
    <w:p w14:paraId="16AAEE13" w14:textId="77777777" w:rsidR="00E61A29" w:rsidRPr="00E61A29" w:rsidRDefault="00E61A29" w:rsidP="00E61A29">
      <w:pPr>
        <w:numPr>
          <w:ilvl w:val="0"/>
          <w:numId w:val="42"/>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By discipline (e.g., rollout process to all physicians, then to all nurses, and then to all pharmacists).</w:t>
      </w:r>
    </w:p>
    <w:p w14:paraId="367C036E" w14:textId="77777777" w:rsidR="00E61A29" w:rsidRPr="00E61A29" w:rsidRDefault="00E61A29" w:rsidP="00E61A29">
      <w:pPr>
        <w:numPr>
          <w:ilvl w:val="0"/>
          <w:numId w:val="42"/>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Hospital-wide, all disciplines.</w:t>
      </w:r>
    </w:p>
    <w:p w14:paraId="4E9C5319"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You should establish an implementation timeline. This helps ensure a timely rollout while maintaining flexibility if unanticipated issues arise. Go to the </w:t>
      </w:r>
      <w:hyperlink r:id="rId40" w:history="1">
        <w:r w:rsidRPr="00E61A29">
          <w:rPr>
            <w:rFonts w:ascii="Source Sans Pro" w:eastAsia="Times New Roman" w:hAnsi="Source Sans Pro" w:cs="Times New Roman"/>
            <w:color w:val="005B94"/>
            <w:kern w:val="0"/>
            <w:sz w:val="26"/>
            <w:szCs w:val="26"/>
            <w:u w:val="single"/>
            <w14:ligatures w14:val="none"/>
          </w:rPr>
          <w:t>Appendix</w:t>
        </w:r>
      </w:hyperlink>
      <w:r w:rsidRPr="00E61A29">
        <w:rPr>
          <w:rFonts w:ascii="Source Sans Pro" w:eastAsia="Times New Roman" w:hAnsi="Source Sans Pro" w:cs="Times New Roman"/>
          <w:color w:val="1B1B1B"/>
          <w:kern w:val="0"/>
          <w:sz w:val="26"/>
          <w:szCs w:val="26"/>
          <w14:ligatures w14:val="none"/>
        </w:rPr>
        <w:t> for "Example Timeline Hospital-Wide Rollout by Discipline."</w:t>
      </w:r>
    </w:p>
    <w:p w14:paraId="5E2CD280"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Staff should be well informed and given adequate notice regarding training dates and implementation strategies prior to rollout. Staff communication may need to occur through a variety of channels such as Emails, brief announcements at staff meetings, and memos posted in nursing units, report rooms, conference areas, etc. A flyer can be one way of communicating the rollout plans. Go to the </w:t>
      </w:r>
      <w:hyperlink r:id="rId41" w:history="1">
        <w:r w:rsidRPr="00E61A29">
          <w:rPr>
            <w:rFonts w:ascii="Source Sans Pro" w:eastAsia="Times New Roman" w:hAnsi="Source Sans Pro" w:cs="Times New Roman"/>
            <w:color w:val="005B94"/>
            <w:kern w:val="0"/>
            <w:sz w:val="26"/>
            <w:szCs w:val="26"/>
            <w:u w:val="single"/>
            <w14:ligatures w14:val="none"/>
          </w:rPr>
          <w:t>Appendix</w:t>
        </w:r>
      </w:hyperlink>
      <w:r w:rsidRPr="00E61A29">
        <w:rPr>
          <w:rFonts w:ascii="Source Sans Pro" w:eastAsia="Times New Roman" w:hAnsi="Source Sans Pro" w:cs="Times New Roman"/>
          <w:color w:val="1B1B1B"/>
          <w:kern w:val="0"/>
          <w:sz w:val="26"/>
          <w:szCs w:val="26"/>
          <w14:ligatures w14:val="none"/>
        </w:rPr>
        <w:t> for "Sample Staff Flyer to Announce Rollout/Implementation of Medication Reconciliation Process." For Email announcements, consider having departmental or discipline leaders send prepared messages directly to their colleagues to convey the importance of implementation and adoption of the process.</w:t>
      </w:r>
    </w:p>
    <w:p w14:paraId="78947255" w14:textId="77777777" w:rsidR="00E61A29" w:rsidRPr="00E61A29" w:rsidRDefault="00E61A29" w:rsidP="00E61A29">
      <w:pPr>
        <w:shd w:val="clear" w:color="auto" w:fill="FFFFFF"/>
        <w:spacing w:after="100" w:afterAutospacing="1" w:line="312" w:lineRule="atLeast"/>
        <w:outlineLvl w:val="2"/>
        <w:rPr>
          <w:rFonts w:ascii="Arial" w:eastAsia="Times New Roman" w:hAnsi="Arial" w:cs="Arial"/>
          <w:b/>
          <w:bCs/>
          <w:color w:val="1B1B1B"/>
          <w:kern w:val="0"/>
          <w:sz w:val="36"/>
          <w:szCs w:val="36"/>
          <w14:ligatures w14:val="none"/>
        </w:rPr>
      </w:pPr>
      <w:r w:rsidRPr="00E61A29">
        <w:rPr>
          <w:rFonts w:ascii="Arial" w:eastAsia="Times New Roman" w:hAnsi="Arial" w:cs="Arial"/>
          <w:b/>
          <w:bCs/>
          <w:color w:val="1B1B1B"/>
          <w:kern w:val="0"/>
          <w:sz w:val="36"/>
          <w:szCs w:val="36"/>
          <w14:ligatures w14:val="none"/>
        </w:rPr>
        <w:t>Chapter 4 Lessons Learned</w:t>
      </w:r>
    </w:p>
    <w:p w14:paraId="71F30E0D" w14:textId="77777777" w:rsidR="00E61A29" w:rsidRPr="00E61A29" w:rsidRDefault="00E61A29" w:rsidP="00E61A29">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Lessons learned from staff of facilities that have implemented MATCH and facilities that received technical assistance on MATCH through the AHRQ QIO Learning Network include:</w:t>
      </w:r>
    </w:p>
    <w:p w14:paraId="146F0D93" w14:textId="77777777" w:rsidR="00E61A29" w:rsidRPr="00E61A29" w:rsidRDefault="00E61A29" w:rsidP="00E61A29">
      <w:pPr>
        <w:numPr>
          <w:ilvl w:val="0"/>
          <w:numId w:val="43"/>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lastRenderedPageBreak/>
        <w:t>It is critical to put in as much time planning the implementation as you spent on the design (maybe even more) to ensure successful adoption.</w:t>
      </w:r>
    </w:p>
    <w:p w14:paraId="036875D5" w14:textId="77777777" w:rsidR="00E61A29" w:rsidRPr="00E61A29" w:rsidRDefault="00E61A29" w:rsidP="00E61A29">
      <w:pPr>
        <w:numPr>
          <w:ilvl w:val="0"/>
          <w:numId w:val="43"/>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Stakeholders need to be "on board" to support the effort throughout the rollout. The leadership team will play a key role in addressing roadblocks and approving needed changes resulting from broader implementation. Other considerations for a successful implementation include:</w:t>
      </w:r>
    </w:p>
    <w:p w14:paraId="597D0D0C" w14:textId="77777777" w:rsidR="00E61A29" w:rsidRPr="00E61A29" w:rsidRDefault="00E61A29" w:rsidP="00E61A29">
      <w:pPr>
        <w:numPr>
          <w:ilvl w:val="1"/>
          <w:numId w:val="43"/>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Adequate resources for rollout.</w:t>
      </w:r>
    </w:p>
    <w:p w14:paraId="2D6A66B1" w14:textId="77777777" w:rsidR="00E61A29" w:rsidRPr="00E61A29" w:rsidRDefault="00E61A29" w:rsidP="00E61A29">
      <w:pPr>
        <w:numPr>
          <w:ilvl w:val="1"/>
          <w:numId w:val="43"/>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Timely staff communication regarding training and go-live.</w:t>
      </w:r>
    </w:p>
    <w:p w14:paraId="65F26C44" w14:textId="77777777" w:rsidR="00E61A29" w:rsidRPr="00E61A29" w:rsidRDefault="00E61A29" w:rsidP="00E61A29">
      <w:pPr>
        <w:numPr>
          <w:ilvl w:val="1"/>
          <w:numId w:val="43"/>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Multidisciplinary training sessions (i.e., team training) followed by coach support.</w:t>
      </w:r>
    </w:p>
    <w:p w14:paraId="20304FFC" w14:textId="77777777" w:rsidR="00E61A29" w:rsidRDefault="00E61A29" w:rsidP="00E61A29">
      <w:pPr>
        <w:numPr>
          <w:ilvl w:val="0"/>
          <w:numId w:val="43"/>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E61A29">
        <w:rPr>
          <w:rFonts w:ascii="Source Sans Pro" w:eastAsia="Times New Roman" w:hAnsi="Source Sans Pro" w:cs="Times New Roman"/>
          <w:color w:val="1B1B1B"/>
          <w:kern w:val="0"/>
          <w:sz w:val="26"/>
          <w:szCs w:val="26"/>
          <w14:ligatures w14:val="none"/>
        </w:rPr>
        <w:t>It is easy to fall into the mindset of "we designed a great process, the pilot was successful; therefore, everything else will follow suit." Through our experience, we found that it's not always that simple, especially when many staff perceived medication reconciliation would add extra work without added benefit.</w:t>
      </w:r>
    </w:p>
    <w:p w14:paraId="79A5AB11" w14:textId="77777777" w:rsidR="00E61A29" w:rsidRDefault="00E61A29" w:rsidP="00E61A29">
      <w:pPr>
        <w:shd w:val="clear" w:color="auto" w:fill="FFFFFF"/>
        <w:spacing w:after="100" w:afterAutospacing="1" w:line="312" w:lineRule="atLeast"/>
        <w:outlineLvl w:val="1"/>
        <w:rPr>
          <w:rFonts w:ascii="Arial" w:eastAsia="Times New Roman" w:hAnsi="Arial" w:cs="Arial"/>
          <w:b/>
          <w:bCs/>
          <w:color w:val="1B1B1B"/>
          <w:kern w:val="0"/>
          <w:sz w:val="45"/>
          <w:szCs w:val="45"/>
          <w14:ligatures w14:val="none"/>
        </w:rPr>
      </w:pPr>
      <w:r w:rsidRPr="00E61A29">
        <w:rPr>
          <w:rFonts w:ascii="Arial" w:eastAsia="Times New Roman" w:hAnsi="Arial" w:cs="Arial"/>
          <w:b/>
          <w:bCs/>
          <w:color w:val="1B1B1B"/>
          <w:kern w:val="0"/>
          <w:sz w:val="45"/>
          <w:szCs w:val="45"/>
          <w14:ligatures w14:val="none"/>
        </w:rPr>
        <w:t>Chapter 5. Education and Training</w:t>
      </w:r>
    </w:p>
    <w:p w14:paraId="6C400FB5" w14:textId="77777777" w:rsidR="00250E55" w:rsidRDefault="00250E55" w:rsidP="00E61A29">
      <w:pPr>
        <w:shd w:val="clear" w:color="auto" w:fill="FFFFFF"/>
        <w:spacing w:after="100" w:afterAutospacing="1" w:line="312" w:lineRule="atLeast"/>
        <w:outlineLvl w:val="1"/>
        <w:rPr>
          <w:rFonts w:ascii="Arial" w:eastAsia="Times New Roman" w:hAnsi="Arial" w:cs="Arial"/>
          <w:b/>
          <w:bCs/>
          <w:color w:val="1B1B1B"/>
          <w:kern w:val="0"/>
          <w:sz w:val="45"/>
          <w:szCs w:val="45"/>
          <w14:ligatures w14:val="none"/>
        </w:rPr>
      </w:pPr>
    </w:p>
    <w:p w14:paraId="169E3B80" w14:textId="77777777" w:rsidR="00250E55" w:rsidRPr="00250E55" w:rsidRDefault="00250E55" w:rsidP="00250E55">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Now that you have formed the implementation team and finalized the rollout plan, it is time to educate and train all disciplines that will be involved in the medication reconciliation process. This section contains information on effective strategies, materials, and tools for educating physicians, nurses, and pharmacists on medication reconciliation.</w:t>
      </w:r>
    </w:p>
    <w:p w14:paraId="4F5D6DBF" w14:textId="77777777" w:rsidR="00250E55" w:rsidRPr="00250E55" w:rsidRDefault="00250E55" w:rsidP="00250E55">
      <w:pPr>
        <w:shd w:val="clear" w:color="auto" w:fill="FFFFFF"/>
        <w:spacing w:after="100" w:afterAutospacing="1" w:line="312" w:lineRule="atLeast"/>
        <w:outlineLvl w:val="2"/>
        <w:rPr>
          <w:rFonts w:ascii="Arial" w:eastAsia="Times New Roman" w:hAnsi="Arial" w:cs="Arial"/>
          <w:b/>
          <w:bCs/>
          <w:color w:val="1B1B1B"/>
          <w:kern w:val="0"/>
          <w:sz w:val="36"/>
          <w:szCs w:val="36"/>
          <w14:ligatures w14:val="none"/>
        </w:rPr>
      </w:pPr>
      <w:r w:rsidRPr="00250E55">
        <w:rPr>
          <w:rFonts w:ascii="Arial" w:eastAsia="Times New Roman" w:hAnsi="Arial" w:cs="Arial"/>
          <w:b/>
          <w:bCs/>
          <w:color w:val="1B1B1B"/>
          <w:kern w:val="0"/>
          <w:sz w:val="36"/>
          <w:szCs w:val="36"/>
          <w14:ligatures w14:val="none"/>
        </w:rPr>
        <w:t>Education and Training Strategy</w:t>
      </w:r>
    </w:p>
    <w:p w14:paraId="4E4826D5" w14:textId="77777777" w:rsidR="00250E55" w:rsidRPr="00250E55" w:rsidRDefault="00250E55" w:rsidP="00250E55">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Multidisciplinary training (i.e., physicians, nurses, and pharmacists attending training classes together), supported by introductions from hospital leaders, can be an excellent strategic decision because:</w:t>
      </w:r>
    </w:p>
    <w:p w14:paraId="4106892E" w14:textId="77777777" w:rsidR="00250E55" w:rsidRPr="00250E55" w:rsidRDefault="00250E55" w:rsidP="00250E55">
      <w:pPr>
        <w:numPr>
          <w:ilvl w:val="0"/>
          <w:numId w:val="44"/>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Key leaders in the organization set the tone for training and implementation.</w:t>
      </w:r>
    </w:p>
    <w:p w14:paraId="32C96E59" w14:textId="77777777" w:rsidR="00250E55" w:rsidRPr="00250E55" w:rsidRDefault="00250E55" w:rsidP="00250E55">
      <w:pPr>
        <w:numPr>
          <w:ilvl w:val="0"/>
          <w:numId w:val="44"/>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Training together promotes a team approach.</w:t>
      </w:r>
    </w:p>
    <w:p w14:paraId="749B0E7E" w14:textId="77777777" w:rsidR="00250E55" w:rsidRPr="00250E55" w:rsidRDefault="00250E55" w:rsidP="00250E55">
      <w:pPr>
        <w:numPr>
          <w:ilvl w:val="0"/>
          <w:numId w:val="44"/>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Group sessions create an appreciation of the interdependency of each discipline in the medication reconciliation process.</w:t>
      </w:r>
    </w:p>
    <w:p w14:paraId="7B87E085" w14:textId="77777777" w:rsidR="00250E55" w:rsidRPr="00250E55" w:rsidRDefault="00250E55" w:rsidP="00250E55">
      <w:pPr>
        <w:numPr>
          <w:ilvl w:val="0"/>
          <w:numId w:val="44"/>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lastRenderedPageBreak/>
        <w:t>Roles and responsibilities are clearly defined and understood.</w:t>
      </w:r>
    </w:p>
    <w:p w14:paraId="26BD4BF9" w14:textId="77777777" w:rsidR="00250E55" w:rsidRPr="00250E55" w:rsidRDefault="00250E55" w:rsidP="00250E55">
      <w:pPr>
        <w:numPr>
          <w:ilvl w:val="0"/>
          <w:numId w:val="44"/>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All disciplines are consistently trained on each step within the process.</w:t>
      </w:r>
    </w:p>
    <w:p w14:paraId="47185A76" w14:textId="77777777" w:rsidR="00250E55" w:rsidRPr="00250E55" w:rsidRDefault="00250E55" w:rsidP="00250E55">
      <w:pPr>
        <w:shd w:val="clear" w:color="auto" w:fill="FFFFFF"/>
        <w:spacing w:after="100" w:afterAutospacing="1" w:line="312" w:lineRule="atLeast"/>
        <w:outlineLvl w:val="2"/>
        <w:rPr>
          <w:rFonts w:ascii="Arial" w:eastAsia="Times New Roman" w:hAnsi="Arial" w:cs="Arial"/>
          <w:b/>
          <w:bCs/>
          <w:color w:val="1B1B1B"/>
          <w:kern w:val="0"/>
          <w:sz w:val="36"/>
          <w:szCs w:val="36"/>
          <w14:ligatures w14:val="none"/>
        </w:rPr>
      </w:pPr>
      <w:r w:rsidRPr="00250E55">
        <w:rPr>
          <w:rFonts w:ascii="Arial" w:eastAsia="Times New Roman" w:hAnsi="Arial" w:cs="Arial"/>
          <w:b/>
          <w:bCs/>
          <w:color w:val="1B1B1B"/>
          <w:kern w:val="0"/>
          <w:sz w:val="36"/>
          <w:szCs w:val="36"/>
          <w14:ligatures w14:val="none"/>
        </w:rPr>
        <w:t>Education and Training Curriculum on Medication Reconciliation</w:t>
      </w:r>
    </w:p>
    <w:p w14:paraId="0C5333E4" w14:textId="77777777" w:rsidR="00250E55" w:rsidRPr="00250E55" w:rsidRDefault="00250E55" w:rsidP="00250E55">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An overarching message throughout training needs to be that medication reconciliation provides a standardized, consistent approach for:</w:t>
      </w:r>
    </w:p>
    <w:p w14:paraId="6EFA6F31" w14:textId="77777777" w:rsidR="00250E55" w:rsidRPr="00250E55" w:rsidRDefault="00250E55" w:rsidP="00250E55">
      <w:pPr>
        <w:numPr>
          <w:ilvl w:val="0"/>
          <w:numId w:val="45"/>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Obtaining, documenting, and verifying a patient's current medication list.</w:t>
      </w:r>
    </w:p>
    <w:p w14:paraId="1888A1F1" w14:textId="77777777" w:rsidR="00250E55" w:rsidRPr="00250E55" w:rsidRDefault="00250E55" w:rsidP="00250E55">
      <w:pPr>
        <w:numPr>
          <w:ilvl w:val="0"/>
          <w:numId w:val="45"/>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Comparing this list with medications ordered within the facility.</w:t>
      </w:r>
    </w:p>
    <w:p w14:paraId="4CB946AF" w14:textId="77777777" w:rsidR="00250E55" w:rsidRPr="00250E55" w:rsidRDefault="00250E55" w:rsidP="00250E55">
      <w:pPr>
        <w:numPr>
          <w:ilvl w:val="0"/>
          <w:numId w:val="45"/>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Ensuring that any discrepancies identified (i.e., omissions, modifications, deletions, etc.) are appropriate and intentional based on the patient's care plan.</w:t>
      </w:r>
    </w:p>
    <w:p w14:paraId="7AD980E3" w14:textId="77777777" w:rsidR="00250E55" w:rsidRPr="00250E55" w:rsidRDefault="00250E55" w:rsidP="00250E55">
      <w:pPr>
        <w:numPr>
          <w:ilvl w:val="0"/>
          <w:numId w:val="45"/>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Resolving unintended discrepancies with supporting documentation.</w:t>
      </w:r>
    </w:p>
    <w:p w14:paraId="05327217" w14:textId="77777777" w:rsidR="00250E55" w:rsidRPr="00250E55" w:rsidRDefault="00250E55" w:rsidP="00250E55">
      <w:pPr>
        <w:numPr>
          <w:ilvl w:val="0"/>
          <w:numId w:val="45"/>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Communicating medication information during transitions in care.</w:t>
      </w:r>
    </w:p>
    <w:p w14:paraId="7B4F85F0" w14:textId="77777777" w:rsidR="00250E55" w:rsidRPr="00250E55" w:rsidRDefault="00250E55" w:rsidP="00250E55">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It is also important that physicians, nurses, and pharmacists understand how the medication reconciliation process is designed to integrate into their current workflow and support medication management efforts to prevent medication errors and the potential for patient harm.</w:t>
      </w:r>
    </w:p>
    <w:p w14:paraId="34D2411F" w14:textId="77777777" w:rsidR="00250E55" w:rsidRPr="00250E55" w:rsidRDefault="00250E55" w:rsidP="00250E55">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As an example, an education and training curriculum might focus on:</w:t>
      </w:r>
    </w:p>
    <w:p w14:paraId="0119228C" w14:textId="77777777" w:rsidR="00250E55" w:rsidRPr="00250E55" w:rsidRDefault="00250E55" w:rsidP="00250E55">
      <w:pPr>
        <w:numPr>
          <w:ilvl w:val="0"/>
          <w:numId w:val="46"/>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A multi-disciplinary approach to medication reconciliation.</w:t>
      </w:r>
    </w:p>
    <w:p w14:paraId="3C4F17FF" w14:textId="77777777" w:rsidR="00250E55" w:rsidRPr="00250E55" w:rsidRDefault="00250E55" w:rsidP="00250E55">
      <w:pPr>
        <w:numPr>
          <w:ilvl w:val="0"/>
          <w:numId w:val="46"/>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Using a Medication Profile tab, identified as a "One Source of Truth" (e.g., a single list and common location shared by all disciplines) for documenting and updating the patient's current medication list upon admission and referencing this list throughout the patient's stay and at discharge.</w:t>
      </w:r>
    </w:p>
    <w:p w14:paraId="415861E3" w14:textId="77777777" w:rsidR="00250E55" w:rsidRPr="00250E55" w:rsidRDefault="00250E55" w:rsidP="00250E55">
      <w:pPr>
        <w:numPr>
          <w:ilvl w:val="0"/>
          <w:numId w:val="46"/>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Reconciling medications ordered for the patient upon admission (entry), during intra-hospital transfers (if applicable) and upon discharge (exit) with the patient's list of current medications.</w:t>
      </w:r>
    </w:p>
    <w:p w14:paraId="76B01502" w14:textId="77777777" w:rsidR="00250E55" w:rsidRPr="00250E55" w:rsidRDefault="00250E55" w:rsidP="00250E55">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Training should focus on two concepts:</w:t>
      </w:r>
    </w:p>
    <w:p w14:paraId="5C22DBDF" w14:textId="77777777" w:rsidR="00250E55" w:rsidRPr="00250E55" w:rsidRDefault="00250E55" w:rsidP="00250E55">
      <w:pPr>
        <w:numPr>
          <w:ilvl w:val="0"/>
          <w:numId w:val="47"/>
        </w:numPr>
        <w:shd w:val="clear" w:color="auto" w:fill="FFFFFF"/>
        <w:spacing w:before="100" w:beforeAutospacing="1" w:after="100" w:afterAutospacing="1" w:line="360"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lastRenderedPageBreak/>
        <w:t>How to conduct a patient interview to inquire about patients' current medications.</w:t>
      </w:r>
    </w:p>
    <w:p w14:paraId="4059D44D" w14:textId="77777777" w:rsidR="00250E55" w:rsidRPr="00250E55" w:rsidRDefault="00250E55" w:rsidP="00250E55">
      <w:pPr>
        <w:numPr>
          <w:ilvl w:val="0"/>
          <w:numId w:val="47"/>
        </w:numPr>
        <w:shd w:val="clear" w:color="auto" w:fill="FFFFFF"/>
        <w:spacing w:before="100" w:beforeAutospacing="1" w:after="100" w:afterAutospacing="1" w:line="360"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The thought process or "critical thinking" involved with performing medication reconciliation.</w:t>
      </w:r>
    </w:p>
    <w:p w14:paraId="51326317" w14:textId="77777777" w:rsidR="00250E55" w:rsidRPr="00250E55" w:rsidRDefault="00250E55" w:rsidP="00250E55">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This section contains materials developed for training on medication history taking and performing medication reconciliation, which can be customized to meet the organization's training needs.</w:t>
      </w:r>
      <w:bookmarkStart w:id="11" w:name="fig9"/>
      <w:r w:rsidRPr="00250E55">
        <w:rPr>
          <w:rFonts w:ascii="Source Sans Pro" w:eastAsia="Times New Roman" w:hAnsi="Source Sans Pro" w:cs="Times New Roman"/>
          <w:color w:val="1B1B1B"/>
          <w:kern w:val="0"/>
          <w:sz w:val="26"/>
          <w:szCs w:val="26"/>
          <w14:ligatures w14:val="none"/>
        </w:rPr>
        <w:t> </w:t>
      </w:r>
      <w:bookmarkEnd w:id="11"/>
    </w:p>
    <w:p w14:paraId="15105063" w14:textId="77777777" w:rsidR="00250E55" w:rsidRPr="00250E55" w:rsidRDefault="00250E55" w:rsidP="00250E55">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b/>
          <w:bCs/>
          <w:color w:val="1B1B1B"/>
          <w:kern w:val="0"/>
          <w:sz w:val="26"/>
          <w:szCs w:val="26"/>
          <w14:ligatures w14:val="none"/>
        </w:rPr>
        <w:t>How to Conduct a Patient Interview to Obtain, Verify, and Document Patient's Current Medications.</w:t>
      </w:r>
      <w:r w:rsidRPr="00250E55">
        <w:rPr>
          <w:rFonts w:ascii="Source Sans Pro" w:eastAsia="Times New Roman" w:hAnsi="Source Sans Pro" w:cs="Times New Roman"/>
          <w:color w:val="1B1B1B"/>
          <w:kern w:val="0"/>
          <w:sz w:val="26"/>
          <w:szCs w:val="26"/>
          <w14:ligatures w14:val="none"/>
        </w:rPr>
        <w:t> This section describes the medication history interview process to help ensure a "good faith" effort has been made to obtain the most complete, up-to-date list of the patient's current medications.</w:t>
      </w:r>
    </w:p>
    <w:p w14:paraId="2DE89013" w14:textId="77777777" w:rsidR="00250E55" w:rsidRPr="00250E55" w:rsidRDefault="00250E55" w:rsidP="00250E55">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 xml:space="preserve">The process of who conducts the initial patient medication history interview and/or history verification may vary across the organization depending on the patient population, workflow, and patient status (inpatient, outpatient, emergency department visit, pre-registered patient, </w:t>
      </w:r>
      <w:proofErr w:type="spellStart"/>
      <w:r w:rsidRPr="00250E55">
        <w:rPr>
          <w:rFonts w:ascii="Source Sans Pro" w:eastAsia="Times New Roman" w:hAnsi="Source Sans Pro" w:cs="Times New Roman"/>
          <w:color w:val="1B1B1B"/>
          <w:kern w:val="0"/>
          <w:sz w:val="26"/>
          <w:szCs w:val="26"/>
          <w14:ligatures w14:val="none"/>
        </w:rPr>
        <w:t>etc</w:t>
      </w:r>
      <w:proofErr w:type="spellEnd"/>
      <w:r w:rsidRPr="00250E55">
        <w:rPr>
          <w:rFonts w:ascii="Source Sans Pro" w:eastAsia="Times New Roman" w:hAnsi="Source Sans Pro" w:cs="Times New Roman"/>
          <w:color w:val="1B1B1B"/>
          <w:kern w:val="0"/>
          <w:sz w:val="26"/>
          <w:szCs w:val="26"/>
          <w14:ligatures w14:val="none"/>
        </w:rPr>
        <w:t>). </w:t>
      </w:r>
      <w:hyperlink r:id="rId42" w:history="1">
        <w:r w:rsidRPr="00250E55">
          <w:rPr>
            <w:rFonts w:ascii="Source Sans Pro" w:eastAsia="Times New Roman" w:hAnsi="Source Sans Pro" w:cs="Times New Roman"/>
            <w:color w:val="005B94"/>
            <w:kern w:val="0"/>
            <w:sz w:val="26"/>
            <w:szCs w:val="26"/>
            <w:u w:val="single"/>
            <w14:ligatures w14:val="none"/>
          </w:rPr>
          <w:t>Figure 9</w:t>
        </w:r>
      </w:hyperlink>
      <w:r w:rsidRPr="00250E55">
        <w:rPr>
          <w:rFonts w:ascii="Source Sans Pro" w:eastAsia="Times New Roman" w:hAnsi="Source Sans Pro" w:cs="Times New Roman"/>
          <w:color w:val="1B1B1B"/>
          <w:kern w:val="0"/>
          <w:sz w:val="26"/>
          <w:szCs w:val="26"/>
          <w14:ligatures w14:val="none"/>
        </w:rPr>
        <w:t> highlights elements that should be captured when inquiring about a patient's current medication regimen and tips for conducting the patient medication interview.</w:t>
      </w:r>
    </w:p>
    <w:p w14:paraId="4DEC05E3" w14:textId="77777777" w:rsidR="00250E55" w:rsidRPr="00250E55" w:rsidRDefault="00250E55" w:rsidP="00250E55">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Because the patient's ability to recall medications, doses, and/or frequency of use may be compromised when he or she is not feeling well and is being admitted to the hospital, verifying the patient's medication list upon admission and at a later point in the hospital stay is an essential step to ensuring accuracy and completeness. In addition, it provides an opportunity to educate the patient about the medications ordered during the hospitalization and identify any discrepancies from the patient's perspective. This medication history verification interview can be approached in this manner:</w:t>
      </w:r>
    </w:p>
    <w:p w14:paraId="72AABF43" w14:textId="77777777" w:rsidR="00250E55" w:rsidRPr="00250E55" w:rsidRDefault="00250E55" w:rsidP="00250E55">
      <w:pPr>
        <w:shd w:val="clear" w:color="auto" w:fill="FFFFFF"/>
        <w:spacing w:after="0" w:line="360"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"Hi, Mrs. Jones. I'm your nurse, Katherine Johnson. Dr. Smith included in your chart the list of medications you were taking at home, based on the information you provided when you arrived at our hospital. I want to verify that we have documented your list of current medications correctly and that we did not omit anything. Also, I want to go over what medications have been ordered for you to take while in the hospital."</w:t>
      </w:r>
    </w:p>
    <w:p w14:paraId="1B785977" w14:textId="77777777" w:rsidR="00250E55" w:rsidRPr="00250E55" w:rsidRDefault="00250E55" w:rsidP="00250E55">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lastRenderedPageBreak/>
        <w:t>If a patient is unable to participate in a medication interview, other sources may be used for obtaining medication histories or clarifying conflicting information. Other sources should never be a substitute for a thorough patient medication interview for patients who are able to participate. Sources of information include:</w:t>
      </w:r>
    </w:p>
    <w:p w14:paraId="730CE1E6" w14:textId="77777777" w:rsidR="00250E55" w:rsidRPr="00250E55" w:rsidRDefault="00250E55" w:rsidP="00250E55">
      <w:pPr>
        <w:numPr>
          <w:ilvl w:val="0"/>
          <w:numId w:val="48"/>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Patient.</w:t>
      </w:r>
    </w:p>
    <w:p w14:paraId="5043332F" w14:textId="77777777" w:rsidR="00250E55" w:rsidRPr="00250E55" w:rsidRDefault="00250E55" w:rsidP="00250E55">
      <w:pPr>
        <w:numPr>
          <w:ilvl w:val="0"/>
          <w:numId w:val="48"/>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Family/caregiver.</w:t>
      </w:r>
    </w:p>
    <w:p w14:paraId="3D0F6ADD" w14:textId="77777777" w:rsidR="00250E55" w:rsidRPr="00250E55" w:rsidRDefault="00250E55" w:rsidP="00250E55">
      <w:pPr>
        <w:numPr>
          <w:ilvl w:val="0"/>
          <w:numId w:val="48"/>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Patient's medication bottles.</w:t>
      </w:r>
      <w:hyperlink r:id="rId43" w:anchor="note" w:history="1">
        <w:r w:rsidRPr="00250E55">
          <w:rPr>
            <w:rFonts w:ascii="Source Sans Pro" w:eastAsia="Times New Roman" w:hAnsi="Source Sans Pro" w:cs="Times New Roman"/>
            <w:color w:val="005B94"/>
            <w:kern w:val="0"/>
            <w:sz w:val="26"/>
            <w:szCs w:val="26"/>
            <w:u w:val="single"/>
            <w14:ligatures w14:val="none"/>
          </w:rPr>
          <w:t>*</w:t>
        </w:r>
      </w:hyperlink>
    </w:p>
    <w:p w14:paraId="1383837E" w14:textId="77777777" w:rsidR="00250E55" w:rsidRPr="00250E55" w:rsidRDefault="00250E55" w:rsidP="00250E55">
      <w:pPr>
        <w:numPr>
          <w:ilvl w:val="0"/>
          <w:numId w:val="48"/>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Patient's community pharmacy.</w:t>
      </w:r>
    </w:p>
    <w:p w14:paraId="37583F22" w14:textId="77777777" w:rsidR="00250E55" w:rsidRPr="00250E55" w:rsidRDefault="00250E55" w:rsidP="00250E55">
      <w:pPr>
        <w:numPr>
          <w:ilvl w:val="0"/>
          <w:numId w:val="48"/>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Patient's primary care or specialty physicians and their offices or clinics.</w:t>
      </w:r>
    </w:p>
    <w:p w14:paraId="4F7AC455" w14:textId="77777777" w:rsidR="00250E55" w:rsidRPr="00250E55" w:rsidRDefault="00250E55" w:rsidP="00250E55">
      <w:pPr>
        <w:numPr>
          <w:ilvl w:val="0"/>
          <w:numId w:val="48"/>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Past medical records.</w:t>
      </w:r>
    </w:p>
    <w:p w14:paraId="33CAC792" w14:textId="77777777" w:rsidR="00250E55" w:rsidRPr="00250E55" w:rsidRDefault="00250E55" w:rsidP="00250E55">
      <w:pPr>
        <w:numPr>
          <w:ilvl w:val="0"/>
          <w:numId w:val="48"/>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Patient's own medication list.</w:t>
      </w:r>
      <w:hyperlink r:id="rId44" w:anchor="note" w:history="1">
        <w:r w:rsidRPr="00250E55">
          <w:rPr>
            <w:rFonts w:ascii="Source Sans Pro" w:eastAsia="Times New Roman" w:hAnsi="Source Sans Pro" w:cs="Times New Roman"/>
            <w:color w:val="005B94"/>
            <w:kern w:val="0"/>
            <w:sz w:val="26"/>
            <w:szCs w:val="26"/>
            <w:u w:val="single"/>
            <w14:ligatures w14:val="none"/>
          </w:rPr>
          <w:t>*</w:t>
        </w:r>
      </w:hyperlink>
    </w:p>
    <w:p w14:paraId="05570BF4" w14:textId="77777777" w:rsidR="00250E55" w:rsidRPr="00250E55" w:rsidRDefault="00250E55" w:rsidP="00250E55">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 xml:space="preserve">When nurses and/or pharmacists learn new information during medication history verification, the physician should be contacted. The physician should determine if this information will alter the care plan for that </w:t>
      </w:r>
      <w:proofErr w:type="gramStart"/>
      <w:r w:rsidRPr="00250E55">
        <w:rPr>
          <w:rFonts w:ascii="Source Sans Pro" w:eastAsia="Times New Roman" w:hAnsi="Source Sans Pro" w:cs="Times New Roman"/>
          <w:color w:val="1B1B1B"/>
          <w:kern w:val="0"/>
          <w:sz w:val="26"/>
          <w:szCs w:val="26"/>
          <w14:ligatures w14:val="none"/>
        </w:rPr>
        <w:t>particular patient</w:t>
      </w:r>
      <w:proofErr w:type="gramEnd"/>
      <w:r w:rsidRPr="00250E55">
        <w:rPr>
          <w:rFonts w:ascii="Source Sans Pro" w:eastAsia="Times New Roman" w:hAnsi="Source Sans Pro" w:cs="Times New Roman"/>
          <w:color w:val="1B1B1B"/>
          <w:kern w:val="0"/>
          <w:sz w:val="26"/>
          <w:szCs w:val="26"/>
          <w14:ligatures w14:val="none"/>
        </w:rPr>
        <w:t xml:space="preserve"> and, if so, subsequent orders can be written with supporting documentation.</w:t>
      </w:r>
    </w:p>
    <w:p w14:paraId="77722FEF" w14:textId="77777777" w:rsidR="00250E55" w:rsidRPr="00250E55" w:rsidRDefault="00250E55" w:rsidP="00250E55">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b/>
          <w:bCs/>
          <w:color w:val="1B1B1B"/>
          <w:kern w:val="0"/>
          <w:sz w:val="26"/>
          <w:szCs w:val="26"/>
          <w14:ligatures w14:val="none"/>
        </w:rPr>
        <w:t>How to Perform Medication Reconciliation.</w:t>
      </w:r>
      <w:r w:rsidRPr="00250E55">
        <w:rPr>
          <w:rFonts w:ascii="Source Sans Pro" w:eastAsia="Times New Roman" w:hAnsi="Source Sans Pro" w:cs="Times New Roman"/>
          <w:color w:val="1B1B1B"/>
          <w:kern w:val="0"/>
          <w:sz w:val="26"/>
          <w:szCs w:val="26"/>
          <w14:ligatures w14:val="none"/>
        </w:rPr>
        <w:t> Once medication lists have been obtained, verified with patients and other sources if needed, and documented within the medical record, this information can then be compared to medications ordered during the episode of care to identify unintended discrepancies, potential drug interactions, and contraindications. Upon discharge, medications administered during the episode of care are then compared to the patient's pre-admission list, and the patient's list is then updated to reflect any changes.</w:t>
      </w:r>
      <w:bookmarkStart w:id="12" w:name="tab3"/>
      <w:r w:rsidRPr="00250E55">
        <w:rPr>
          <w:rFonts w:ascii="Source Sans Pro" w:eastAsia="Times New Roman" w:hAnsi="Source Sans Pro" w:cs="Times New Roman"/>
          <w:color w:val="1B1B1B"/>
          <w:kern w:val="0"/>
          <w:sz w:val="26"/>
          <w:szCs w:val="26"/>
          <w14:ligatures w14:val="none"/>
        </w:rPr>
        <w:t> </w:t>
      </w:r>
      <w:bookmarkEnd w:id="12"/>
    </w:p>
    <w:p w14:paraId="72A5C8AD" w14:textId="77777777" w:rsidR="00250E55" w:rsidRPr="00250E55" w:rsidRDefault="00250E55" w:rsidP="00250E55">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The overall goal of the reconciliation process is to ensure that any changes made to the patient's current medications, such as omissions, dose changes, and deletions, are intentional based on the patient's current clinical status and desired care plan. Discrepancies identified that are inconsistent with documented care plans or are not explained by the patient's current clinical status should be discussed with the physician for resolution, and resulting changes or clarifications should be documented accordingly. Patients should be educated on any changes to their medication regimen to ensure complete understanding.</w:t>
      </w:r>
    </w:p>
    <w:p w14:paraId="5D10816B" w14:textId="77777777" w:rsidR="00250E55" w:rsidRPr="00250E55" w:rsidRDefault="00250E55" w:rsidP="00250E55">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hyperlink r:id="rId45" w:history="1">
        <w:r w:rsidRPr="00250E55">
          <w:rPr>
            <w:rFonts w:ascii="Source Sans Pro" w:eastAsia="Times New Roman" w:hAnsi="Source Sans Pro" w:cs="Times New Roman"/>
            <w:color w:val="005B94"/>
            <w:kern w:val="0"/>
            <w:sz w:val="26"/>
            <w:szCs w:val="26"/>
            <w:u w:val="single"/>
            <w14:ligatures w14:val="none"/>
          </w:rPr>
          <w:t>Table 3</w:t>
        </w:r>
      </w:hyperlink>
      <w:r w:rsidRPr="00250E55">
        <w:rPr>
          <w:rFonts w:ascii="Source Sans Pro" w:eastAsia="Times New Roman" w:hAnsi="Source Sans Pro" w:cs="Times New Roman"/>
          <w:color w:val="1B1B1B"/>
          <w:kern w:val="0"/>
          <w:sz w:val="26"/>
          <w:szCs w:val="26"/>
          <w14:ligatures w14:val="none"/>
        </w:rPr>
        <w:t> helps everyone performing medication reconciliation walk through the "critical thinking process" to identify discrepancies and determine whether clarification is required. It is important for physicians to provide clear documentation and communication regarding medication ordering decisions and care plans to minimize unnecessary pages or telephone calls. Developing scripts for nurses and pharmacists for clarifying medication discrepancies with physicians may also be useful for all disciplines and helps standardize the clarification and communication process for medication discrepancies.</w:t>
      </w:r>
    </w:p>
    <w:p w14:paraId="5D41C75A" w14:textId="77777777" w:rsidR="00250E55" w:rsidRPr="00250E55" w:rsidRDefault="00250E55" w:rsidP="00250E55">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Unintended discrepancies identified during reconciliation can be categorized using the criteria below:</w:t>
      </w:r>
    </w:p>
    <w:p w14:paraId="3F89AD99" w14:textId="77777777" w:rsidR="00250E55" w:rsidRPr="00250E55" w:rsidRDefault="00250E55" w:rsidP="00250E55">
      <w:pPr>
        <w:numPr>
          <w:ilvl w:val="0"/>
          <w:numId w:val="49"/>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b/>
          <w:bCs/>
          <w:color w:val="1B1B1B"/>
          <w:kern w:val="0"/>
          <w:sz w:val="26"/>
          <w:szCs w:val="26"/>
          <w14:ligatures w14:val="none"/>
        </w:rPr>
        <w:t>Omission:</w:t>
      </w:r>
      <w:r w:rsidRPr="00250E55">
        <w:rPr>
          <w:rFonts w:ascii="Source Sans Pro" w:eastAsia="Times New Roman" w:hAnsi="Source Sans Pro" w:cs="Times New Roman"/>
          <w:color w:val="1B1B1B"/>
          <w:kern w:val="0"/>
          <w:sz w:val="26"/>
          <w:szCs w:val="26"/>
          <w14:ligatures w14:val="none"/>
        </w:rPr>
        <w:t xml:space="preserve"> Patient reports taking a medication before hospitalization. It was not ordered on </w:t>
      </w:r>
      <w:proofErr w:type="gramStart"/>
      <w:r w:rsidRPr="00250E55">
        <w:rPr>
          <w:rFonts w:ascii="Source Sans Pro" w:eastAsia="Times New Roman" w:hAnsi="Source Sans Pro" w:cs="Times New Roman"/>
          <w:color w:val="1B1B1B"/>
          <w:kern w:val="0"/>
          <w:sz w:val="26"/>
          <w:szCs w:val="26"/>
          <w14:ligatures w14:val="none"/>
        </w:rPr>
        <w:t>admission</w:t>
      </w:r>
      <w:proofErr w:type="gramEnd"/>
      <w:r w:rsidRPr="00250E55">
        <w:rPr>
          <w:rFonts w:ascii="Source Sans Pro" w:eastAsia="Times New Roman" w:hAnsi="Source Sans Pro" w:cs="Times New Roman"/>
          <w:color w:val="1B1B1B"/>
          <w:kern w:val="0"/>
          <w:sz w:val="26"/>
          <w:szCs w:val="26"/>
          <w14:ligatures w14:val="none"/>
        </w:rPr>
        <w:t xml:space="preserve"> or it was not listed on the patient's discharge instructions. No clinical explanation supports omission.</w:t>
      </w:r>
    </w:p>
    <w:p w14:paraId="1FD5A19F" w14:textId="77777777" w:rsidR="00250E55" w:rsidRPr="00250E55" w:rsidRDefault="00250E55" w:rsidP="00250E55">
      <w:pPr>
        <w:numPr>
          <w:ilvl w:val="0"/>
          <w:numId w:val="49"/>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b/>
          <w:bCs/>
          <w:color w:val="1B1B1B"/>
          <w:kern w:val="0"/>
          <w:sz w:val="26"/>
          <w:szCs w:val="26"/>
          <w14:ligatures w14:val="none"/>
        </w:rPr>
        <w:t>Commission:</w:t>
      </w:r>
      <w:r w:rsidRPr="00250E55">
        <w:rPr>
          <w:rFonts w:ascii="Source Sans Pro" w:eastAsia="Times New Roman" w:hAnsi="Source Sans Pro" w:cs="Times New Roman"/>
          <w:color w:val="1B1B1B"/>
          <w:kern w:val="0"/>
          <w:sz w:val="26"/>
          <w:szCs w:val="26"/>
          <w14:ligatures w14:val="none"/>
        </w:rPr>
        <w:t> Medication is ordered at admission that the patient did not take before hospitalization. Medication is listed on the patient's discharge instructions, but it was not ordered during the hospital stay and the patient did not take before hospitalization. No clinical explanation supports commission.</w:t>
      </w:r>
    </w:p>
    <w:p w14:paraId="61A61ED6" w14:textId="77777777" w:rsidR="00250E55" w:rsidRPr="00250E55" w:rsidRDefault="00250E55" w:rsidP="00250E55">
      <w:pPr>
        <w:numPr>
          <w:ilvl w:val="0"/>
          <w:numId w:val="49"/>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b/>
          <w:bCs/>
          <w:color w:val="1B1B1B"/>
          <w:kern w:val="0"/>
          <w:sz w:val="26"/>
          <w:szCs w:val="26"/>
          <w14:ligatures w14:val="none"/>
        </w:rPr>
        <w:t>Different dose, route, or frequency:</w:t>
      </w:r>
      <w:r w:rsidRPr="00250E55">
        <w:rPr>
          <w:rFonts w:ascii="Source Sans Pro" w:eastAsia="Times New Roman" w:hAnsi="Source Sans Pro" w:cs="Times New Roman"/>
          <w:color w:val="1B1B1B"/>
          <w:kern w:val="0"/>
          <w:sz w:val="26"/>
          <w:szCs w:val="26"/>
          <w14:ligatures w14:val="none"/>
        </w:rPr>
        <w:t> Different doses, routes, or frequency of medication listed on the patient's discharge instructions than what was ordered during the hospital stay or that the patient reports taking before hospitalization. No clinical explanation supports differences.</w:t>
      </w:r>
    </w:p>
    <w:p w14:paraId="3CF9DBEC" w14:textId="77777777" w:rsidR="00250E55" w:rsidRPr="00250E55" w:rsidRDefault="00250E55" w:rsidP="00250E55">
      <w:pPr>
        <w:numPr>
          <w:ilvl w:val="0"/>
          <w:numId w:val="49"/>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b/>
          <w:bCs/>
          <w:color w:val="1B1B1B"/>
          <w:kern w:val="0"/>
          <w:sz w:val="26"/>
          <w:szCs w:val="26"/>
          <w14:ligatures w14:val="none"/>
        </w:rPr>
        <w:t>Different Medication Ordered:</w:t>
      </w:r>
      <w:r w:rsidRPr="00250E55">
        <w:rPr>
          <w:rFonts w:ascii="Source Sans Pro" w:eastAsia="Times New Roman" w:hAnsi="Source Sans Pro" w:cs="Times New Roman"/>
          <w:color w:val="1B1B1B"/>
          <w:kern w:val="0"/>
          <w:sz w:val="26"/>
          <w:szCs w:val="26"/>
          <w14:ligatures w14:val="none"/>
        </w:rPr>
        <w:t> Medication in the same therapeutic class is ordered on admission or is listed on the patient's discharge instructions and differs from what the patient reports. No clinical explanation or formulary substitution supports difference.</w:t>
      </w:r>
    </w:p>
    <w:p w14:paraId="5876C0F4" w14:textId="77777777" w:rsidR="00250E55" w:rsidRPr="00250E55" w:rsidRDefault="00250E55" w:rsidP="00250E55">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In each case, the physician should be consulted for resolution, and the resulting changes should be documented.</w:t>
      </w:r>
    </w:p>
    <w:p w14:paraId="5ED530C6" w14:textId="77777777" w:rsidR="00250E55" w:rsidRPr="00250E55" w:rsidRDefault="00250E55" w:rsidP="00250E55">
      <w:pPr>
        <w:shd w:val="clear" w:color="auto" w:fill="FFFFFF"/>
        <w:spacing w:after="100" w:afterAutospacing="1" w:line="312" w:lineRule="atLeast"/>
        <w:outlineLvl w:val="2"/>
        <w:rPr>
          <w:rFonts w:ascii="Arial" w:eastAsia="Times New Roman" w:hAnsi="Arial" w:cs="Arial"/>
          <w:b/>
          <w:bCs/>
          <w:color w:val="1B1B1B"/>
          <w:kern w:val="0"/>
          <w:sz w:val="36"/>
          <w:szCs w:val="36"/>
          <w14:ligatures w14:val="none"/>
        </w:rPr>
      </w:pPr>
      <w:r w:rsidRPr="00250E55">
        <w:rPr>
          <w:rFonts w:ascii="Arial" w:eastAsia="Times New Roman" w:hAnsi="Arial" w:cs="Arial"/>
          <w:b/>
          <w:bCs/>
          <w:color w:val="1B1B1B"/>
          <w:kern w:val="0"/>
          <w:sz w:val="36"/>
          <w:szCs w:val="36"/>
          <w14:ligatures w14:val="none"/>
        </w:rPr>
        <w:t>Chapter 5 Lessons Learned</w:t>
      </w:r>
    </w:p>
    <w:p w14:paraId="33BCF77E" w14:textId="77777777" w:rsidR="00250E55" w:rsidRPr="00250E55" w:rsidRDefault="00250E55" w:rsidP="00250E55">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Lessons learned from staff of facilities that have implemented MATCH and facilities that received technical assistance on MATCH through the AHRQ QIO Learning Network include:</w:t>
      </w:r>
    </w:p>
    <w:p w14:paraId="736F7543" w14:textId="77777777" w:rsidR="00250E55" w:rsidRPr="00250E55" w:rsidRDefault="00250E55" w:rsidP="00250E55">
      <w:pPr>
        <w:numPr>
          <w:ilvl w:val="0"/>
          <w:numId w:val="50"/>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lastRenderedPageBreak/>
        <w:t>Organizational leaders should promote medication reconciliation training to help reinforce the organization's commitment to this patient safety initiative.</w:t>
      </w:r>
    </w:p>
    <w:p w14:paraId="15F2790A" w14:textId="77777777" w:rsidR="00250E55" w:rsidRPr="00250E55" w:rsidRDefault="00250E55" w:rsidP="00250E55">
      <w:pPr>
        <w:numPr>
          <w:ilvl w:val="0"/>
          <w:numId w:val="50"/>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Physicians, nurses, and pharmacists attending training sessions together promotes a team approach, provides a clear understanding of each discipline's role in the process, and ensures all disciplines are consistently trained on medication reconciliation.</w:t>
      </w:r>
    </w:p>
    <w:p w14:paraId="121A251D" w14:textId="77777777" w:rsidR="00250E55" w:rsidRPr="00250E55" w:rsidRDefault="00250E55" w:rsidP="00250E55">
      <w:pPr>
        <w:numPr>
          <w:ilvl w:val="0"/>
          <w:numId w:val="50"/>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Multidisciplinary training sessions should include education on how to conduct a patient interview to obtain, verify, and document a patient's current medications (e.g., a good-faith effort) and how to reconcile this information with medications provided by the organization.</w:t>
      </w:r>
    </w:p>
    <w:p w14:paraId="100E9105" w14:textId="77777777" w:rsidR="00250E55" w:rsidRPr="00250E55" w:rsidRDefault="00250E55" w:rsidP="00250E55">
      <w:pPr>
        <w:numPr>
          <w:ilvl w:val="0"/>
          <w:numId w:val="50"/>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The critical thinking required for identifying intended (i.e., purposeful) vs. unintended medication discrepancies based on the patient's plan of care and the process for resolving unintended discrepancies should be incorporated in medication reconciliation training.</w:t>
      </w:r>
    </w:p>
    <w:p w14:paraId="19DE2B3C" w14:textId="77777777" w:rsidR="00250E55" w:rsidRPr="00250E55" w:rsidRDefault="00250E55" w:rsidP="00250E55">
      <w:pPr>
        <w:numPr>
          <w:ilvl w:val="0"/>
          <w:numId w:val="50"/>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Education should also focus on the importance of developing good communication patterns regarding patients' medication information during handoffs and transitions of care.</w:t>
      </w:r>
    </w:p>
    <w:p w14:paraId="7B2D5C08" w14:textId="77777777" w:rsidR="00250E55" w:rsidRPr="00250E55" w:rsidRDefault="00250E55" w:rsidP="00250E55">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Users of this toolkit from the QIO Learning Network offered many ways to use the educational tools in the medication reconciliation project:</w:t>
      </w:r>
    </w:p>
    <w:p w14:paraId="1630AACD" w14:textId="77777777" w:rsidR="00250E55" w:rsidRPr="00250E55" w:rsidRDefault="00250E55" w:rsidP="00250E55">
      <w:pPr>
        <w:numPr>
          <w:ilvl w:val="0"/>
          <w:numId w:val="51"/>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Using tools from this section, providers developed PowerPoint® presentations for staff education on how to conduct a medication history.</w:t>
      </w:r>
    </w:p>
    <w:p w14:paraId="641532BE" w14:textId="77777777" w:rsidR="00250E55" w:rsidRPr="00250E55" w:rsidRDefault="00250E55" w:rsidP="00250E55">
      <w:pPr>
        <w:numPr>
          <w:ilvl w:val="0"/>
          <w:numId w:val="51"/>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The "Questions to Ask During a Medication History" template was used by one provider as nurse prompts and questions were put on a card, laminated, and added to the nurse ID lanyard.</w:t>
      </w:r>
    </w:p>
    <w:p w14:paraId="1C488CAD" w14:textId="77777777" w:rsidR="00250E55" w:rsidRPr="00250E55" w:rsidRDefault="00250E55" w:rsidP="00250E55">
      <w:pPr>
        <w:numPr>
          <w:ilvl w:val="0"/>
          <w:numId w:val="51"/>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Using pharmacists in the emergency room or on floors to perform medication histories or having pharmacy students on rotations do medication histories or validate initial lists was successful for many providers. </w:t>
      </w:r>
      <w:bookmarkStart w:id="13" w:name="fig10"/>
      <w:bookmarkStart w:id="14" w:name="note"/>
      <w:bookmarkEnd w:id="13"/>
      <w:r w:rsidRPr="00250E55">
        <w:rPr>
          <w:rFonts w:ascii="Source Sans Pro" w:eastAsia="Times New Roman" w:hAnsi="Source Sans Pro" w:cs="Times New Roman"/>
          <w:color w:val="1B1B1B"/>
          <w:kern w:val="0"/>
          <w:sz w:val="26"/>
          <w:szCs w:val="26"/>
          <w14:ligatures w14:val="none"/>
        </w:rPr>
        <w:t> </w:t>
      </w:r>
      <w:bookmarkEnd w:id="14"/>
    </w:p>
    <w:p w14:paraId="264980AC" w14:textId="77777777" w:rsidR="00250E55" w:rsidRPr="00250E55" w:rsidRDefault="00250E55" w:rsidP="00250E55">
      <w:pPr>
        <w:numPr>
          <w:ilvl w:val="0"/>
          <w:numId w:val="51"/>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Handing out the medication history form to patients in the emergency department waiting room proved successful in beginning the medication history process.</w:t>
      </w:r>
    </w:p>
    <w:p w14:paraId="6CDA0652" w14:textId="77777777" w:rsidR="00250E55" w:rsidRPr="00250E55" w:rsidRDefault="00250E55" w:rsidP="00250E55">
      <w:pPr>
        <w:numPr>
          <w:ilvl w:val="0"/>
          <w:numId w:val="51"/>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Involving community partners, including community physicians, pharmacies, and emergency medical services to assist in providing medication history information enhance process changes.</w:t>
      </w:r>
    </w:p>
    <w:p w14:paraId="03316EB4" w14:textId="77777777" w:rsidR="00250E55" w:rsidRPr="00250E55" w:rsidRDefault="00250E55" w:rsidP="00250E55">
      <w:pPr>
        <w:numPr>
          <w:ilvl w:val="0"/>
          <w:numId w:val="51"/>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lastRenderedPageBreak/>
        <w:t>Included training on medication reconciliation into the core competency staff training requirements.</w:t>
      </w:r>
    </w:p>
    <w:p w14:paraId="1A70AD0F" w14:textId="77777777" w:rsidR="00250E55" w:rsidRPr="00250E55" w:rsidRDefault="00250E55" w:rsidP="00250E55">
      <w:pPr>
        <w:shd w:val="clear" w:color="auto" w:fill="FFFFFF"/>
        <w:spacing w:after="0" w:line="360"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 For patients who present prescription bottles and/or a medications list, each individual medication and corresponding dosing instructions should be verified, if possible; a patient may be taking a medication differently than what is reflected on their prescription label. Also, a patient may have forgotten to update their personal list with newly prescribed medications.</w:t>
      </w:r>
      <w:r w:rsidRPr="00250E55">
        <w:rPr>
          <w:rFonts w:ascii="Source Sans Pro" w:eastAsia="Times New Roman" w:hAnsi="Source Sans Pro" w:cs="Times New Roman"/>
          <w:color w:val="1B1B1B"/>
          <w:kern w:val="0"/>
          <w:sz w:val="26"/>
          <w:szCs w:val="26"/>
          <w14:ligatures w14:val="none"/>
        </w:rPr>
        <w:br/>
      </w:r>
      <w:r w:rsidRPr="00250E55">
        <w:rPr>
          <w:rFonts w:ascii="Source Sans Pro" w:eastAsia="Times New Roman" w:hAnsi="Source Sans Pro" w:cs="Times New Roman"/>
          <w:color w:val="1B1B1B"/>
          <w:kern w:val="0"/>
          <w:sz w:val="26"/>
          <w:szCs w:val="26"/>
          <w14:ligatures w14:val="none"/>
        </w:rPr>
        <w:br/>
        <w:t>Patients who are scheduled in advance for surgeries, procedures, tests, etc., should be reminded to bring their complete medication list and/or the medication bottles with them on the day of their visit. A script to remind patients to bring their medications or medication list to their appointment is at </w:t>
      </w:r>
      <w:hyperlink r:id="rId46" w:history="1">
        <w:r w:rsidRPr="00250E55">
          <w:rPr>
            <w:rFonts w:ascii="Source Sans Pro" w:eastAsia="Times New Roman" w:hAnsi="Source Sans Pro" w:cs="Times New Roman"/>
            <w:color w:val="005B94"/>
            <w:kern w:val="0"/>
            <w:sz w:val="26"/>
            <w:szCs w:val="26"/>
            <w:u w:val="single"/>
            <w14:ligatures w14:val="none"/>
          </w:rPr>
          <w:t>Figure 10</w:t>
        </w:r>
      </w:hyperlink>
      <w:r w:rsidRPr="00250E55">
        <w:rPr>
          <w:rFonts w:ascii="Source Sans Pro" w:eastAsia="Times New Roman" w:hAnsi="Source Sans Pro" w:cs="Times New Roman"/>
          <w:color w:val="1B1B1B"/>
          <w:kern w:val="0"/>
          <w:sz w:val="26"/>
          <w:szCs w:val="26"/>
          <w14:ligatures w14:val="none"/>
        </w:rPr>
        <w:t>. A medication list template can be included in patient materials regarding their procedure/surgery. Go to the sample patient medication list template in the </w:t>
      </w:r>
      <w:hyperlink r:id="rId47" w:history="1">
        <w:r w:rsidRPr="00250E55">
          <w:rPr>
            <w:rFonts w:ascii="Source Sans Pro" w:eastAsia="Times New Roman" w:hAnsi="Source Sans Pro" w:cs="Times New Roman"/>
            <w:color w:val="005B94"/>
            <w:kern w:val="0"/>
            <w:sz w:val="26"/>
            <w:szCs w:val="26"/>
            <w:u w:val="single"/>
            <w14:ligatures w14:val="none"/>
          </w:rPr>
          <w:t>Appendix</w:t>
        </w:r>
      </w:hyperlink>
      <w:r w:rsidRPr="00250E55">
        <w:rPr>
          <w:rFonts w:ascii="Source Sans Pro" w:eastAsia="Times New Roman" w:hAnsi="Source Sans Pro" w:cs="Times New Roman"/>
          <w:color w:val="1B1B1B"/>
          <w:kern w:val="0"/>
          <w:sz w:val="26"/>
          <w:szCs w:val="26"/>
          <w14:ligatures w14:val="none"/>
        </w:rPr>
        <w:t>.</w:t>
      </w:r>
    </w:p>
    <w:p w14:paraId="6FABDEBB" w14:textId="77777777" w:rsidR="00250E55" w:rsidRPr="00250E55" w:rsidRDefault="00250E55" w:rsidP="00250E55">
      <w:pPr>
        <w:spacing w:after="0" w:line="240" w:lineRule="auto"/>
        <w:rPr>
          <w:rFonts w:ascii="Times New Roman" w:eastAsia="Times New Roman" w:hAnsi="Times New Roman" w:cs="Times New Roman"/>
          <w:kern w:val="0"/>
          <w14:ligatures w14:val="none"/>
        </w:rPr>
      </w:pPr>
    </w:p>
    <w:p w14:paraId="03821069" w14:textId="77777777" w:rsidR="00250E55" w:rsidRPr="00250E55" w:rsidRDefault="00250E55" w:rsidP="00250E55">
      <w:pPr>
        <w:shd w:val="clear" w:color="auto" w:fill="FFFFFF"/>
        <w:spacing w:after="100" w:afterAutospacing="1" w:line="312" w:lineRule="atLeast"/>
        <w:outlineLvl w:val="1"/>
        <w:rPr>
          <w:rFonts w:ascii="Arial" w:eastAsia="Times New Roman" w:hAnsi="Arial" w:cs="Arial"/>
          <w:b/>
          <w:bCs/>
          <w:color w:val="1B1B1B"/>
          <w:kern w:val="0"/>
          <w:sz w:val="45"/>
          <w:szCs w:val="45"/>
          <w14:ligatures w14:val="none"/>
        </w:rPr>
      </w:pPr>
      <w:r w:rsidRPr="00250E55">
        <w:rPr>
          <w:rFonts w:ascii="Arial" w:eastAsia="Times New Roman" w:hAnsi="Arial" w:cs="Arial"/>
          <w:b/>
          <w:bCs/>
          <w:color w:val="1B1B1B"/>
          <w:kern w:val="0"/>
          <w:sz w:val="45"/>
          <w:szCs w:val="45"/>
          <w14:ligatures w14:val="none"/>
        </w:rPr>
        <w:t>Chapter 6. Assessment and Process Evaluation</w:t>
      </w:r>
    </w:p>
    <w:p w14:paraId="2FBC4637" w14:textId="77777777" w:rsidR="00250E55" w:rsidRPr="00250E55" w:rsidRDefault="00250E55" w:rsidP="00250E55">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Now that you have implemented a newly designed or redesigned process to improve medication reconciliation in the facility, it is time to assess the process.</w:t>
      </w:r>
      <w:bookmarkStart w:id="15" w:name="fig11"/>
      <w:r w:rsidRPr="00250E55">
        <w:rPr>
          <w:rFonts w:ascii="Source Sans Pro" w:eastAsia="Times New Roman" w:hAnsi="Source Sans Pro" w:cs="Times New Roman"/>
          <w:color w:val="1B1B1B"/>
          <w:kern w:val="0"/>
          <w:sz w:val="26"/>
          <w:szCs w:val="26"/>
          <w14:ligatures w14:val="none"/>
        </w:rPr>
        <w:t> </w:t>
      </w:r>
      <w:bookmarkEnd w:id="15"/>
    </w:p>
    <w:p w14:paraId="64DE7D0D" w14:textId="77777777" w:rsidR="00250E55" w:rsidRPr="00250E55" w:rsidRDefault="00250E55" w:rsidP="00250E55">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Immediately after implementation, auditing is critical to assess adoption. Auditing should be done at all the transitions of care and should include each discipline involved in the process. For example, if physicians and nurses are responsible for medication reconciliation at your organization, it is necessary to look at overall compliance as well as the individual disciplines' compliance. Knowing how each discipline is performing will help tailor feedback to leadership and identify discipline-specific issues that need to be addressed.</w:t>
      </w:r>
    </w:p>
    <w:p w14:paraId="46704A18" w14:textId="77777777" w:rsidR="00250E55" w:rsidRPr="00250E55" w:rsidRDefault="00250E55" w:rsidP="00250E55">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Depending on resources available at your organization, auditing can be accomplished electronically or manually, prospectively or retrospectively. Some audits address quantity while others address quality; it is important to look at both. The quantity audit gives insight to adoption and adherence to your defined process. The quality audit shows the impact on patient safety, such as potential harm avoided through reconciliation. A comparison of audit techniques is provided in </w:t>
      </w:r>
      <w:hyperlink r:id="rId48" w:history="1">
        <w:r w:rsidRPr="00250E55">
          <w:rPr>
            <w:rFonts w:ascii="Source Sans Pro" w:eastAsia="Times New Roman" w:hAnsi="Source Sans Pro" w:cs="Times New Roman"/>
            <w:color w:val="005B94"/>
            <w:kern w:val="0"/>
            <w:sz w:val="26"/>
            <w:szCs w:val="26"/>
            <w:u w:val="single"/>
            <w14:ligatures w14:val="none"/>
          </w:rPr>
          <w:t>Figure 11</w:t>
        </w:r>
      </w:hyperlink>
      <w:r w:rsidRPr="00250E55">
        <w:rPr>
          <w:rFonts w:ascii="Source Sans Pro" w:eastAsia="Times New Roman" w:hAnsi="Source Sans Pro" w:cs="Times New Roman"/>
          <w:color w:val="1B1B1B"/>
          <w:kern w:val="0"/>
          <w:sz w:val="26"/>
          <w:szCs w:val="26"/>
          <w14:ligatures w14:val="none"/>
        </w:rPr>
        <w:t>.</w:t>
      </w:r>
    </w:p>
    <w:p w14:paraId="5CD7438C" w14:textId="77777777" w:rsidR="00250E55" w:rsidRPr="00250E55" w:rsidRDefault="00250E55" w:rsidP="00250E55">
      <w:pPr>
        <w:shd w:val="clear" w:color="auto" w:fill="FFFFFF"/>
        <w:spacing w:after="100" w:afterAutospacing="1" w:line="312" w:lineRule="atLeast"/>
        <w:outlineLvl w:val="2"/>
        <w:rPr>
          <w:rFonts w:ascii="Arial" w:eastAsia="Times New Roman" w:hAnsi="Arial" w:cs="Arial"/>
          <w:b/>
          <w:bCs/>
          <w:color w:val="1B1B1B"/>
          <w:kern w:val="0"/>
          <w:sz w:val="36"/>
          <w:szCs w:val="36"/>
          <w14:ligatures w14:val="none"/>
        </w:rPr>
      </w:pPr>
      <w:r w:rsidRPr="00250E55">
        <w:rPr>
          <w:rFonts w:ascii="Arial" w:eastAsia="Times New Roman" w:hAnsi="Arial" w:cs="Arial"/>
          <w:b/>
          <w:bCs/>
          <w:color w:val="1B1B1B"/>
          <w:kern w:val="0"/>
          <w:sz w:val="36"/>
          <w:szCs w:val="36"/>
          <w14:ligatures w14:val="none"/>
        </w:rPr>
        <w:lastRenderedPageBreak/>
        <w:t>Example of Metrics and Auditing Tools</w:t>
      </w:r>
    </w:p>
    <w:p w14:paraId="494740FA" w14:textId="77777777" w:rsidR="00250E55" w:rsidRPr="00250E55" w:rsidRDefault="00250E55" w:rsidP="00250E55">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There are several effective methods to audit data in hospitals. This toolkit promotes a method that has proven to be valuable to measure the effectiveness of a medication reconciliation process by examining data before redesign, after redesign, and during implementation, as well as associated outcome measures. The model uses two process measure and one outcome measure. The use of a generic data run-chart to track the data measures is suggested. This will trend your project before, during redesign and implementation, and in the future to measure sustainability.</w:t>
      </w:r>
    </w:p>
    <w:p w14:paraId="4D949EF8" w14:textId="77777777" w:rsidR="00250E55" w:rsidRPr="00250E55" w:rsidRDefault="00250E55" w:rsidP="00250E55">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b/>
          <w:bCs/>
          <w:color w:val="1B1B1B"/>
          <w:kern w:val="0"/>
          <w:sz w:val="26"/>
          <w:szCs w:val="26"/>
          <w14:ligatures w14:val="none"/>
        </w:rPr>
        <w:t>Examples of Metrics on Admission: Illinois Hospital Association (IHA) Medication Reconciliation Collaborative.</w:t>
      </w:r>
      <w:r w:rsidRPr="00250E55">
        <w:rPr>
          <w:rFonts w:ascii="Source Sans Pro" w:eastAsia="Times New Roman" w:hAnsi="Source Sans Pro" w:cs="Times New Roman"/>
          <w:color w:val="1B1B1B"/>
          <w:kern w:val="0"/>
          <w:sz w:val="26"/>
          <w:szCs w:val="26"/>
          <w14:ligatures w14:val="none"/>
        </w:rPr>
        <w:t> Through their medication reconciliation statewide collaborative, the IHA developed the following three measurements for medication reconciliation compliance:</w:t>
      </w:r>
    </w:p>
    <w:p w14:paraId="59A37C5D" w14:textId="77777777" w:rsidR="00250E55" w:rsidRPr="00250E55" w:rsidRDefault="00250E55" w:rsidP="00250E55">
      <w:pPr>
        <w:numPr>
          <w:ilvl w:val="0"/>
          <w:numId w:val="52"/>
        </w:numPr>
        <w:shd w:val="clear" w:color="auto" w:fill="FFFFFF"/>
        <w:spacing w:before="100" w:beforeAutospacing="1" w:after="100" w:afterAutospacing="1" w:line="360"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The first measure identifies the percentage of patients who have a home medication list documented in the medical record using the correct tool for documentation.</w:t>
      </w:r>
    </w:p>
    <w:p w14:paraId="6FE6E7AE" w14:textId="77777777" w:rsidR="00250E55" w:rsidRPr="00250E55" w:rsidRDefault="00250E55" w:rsidP="00250E55">
      <w:pPr>
        <w:numPr>
          <w:ilvl w:val="0"/>
          <w:numId w:val="52"/>
        </w:numPr>
        <w:shd w:val="clear" w:color="auto" w:fill="FFFFFF"/>
        <w:spacing w:before="100" w:beforeAutospacing="1" w:after="100" w:afterAutospacing="1" w:line="360"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The second measure identifies the percentage of individual home medications that have been reconciled with admission orders.</w:t>
      </w:r>
    </w:p>
    <w:p w14:paraId="0852EDA2" w14:textId="77777777" w:rsidR="00250E55" w:rsidRPr="00250E55" w:rsidRDefault="00250E55" w:rsidP="00250E55">
      <w:pPr>
        <w:numPr>
          <w:ilvl w:val="0"/>
          <w:numId w:val="52"/>
        </w:numPr>
        <w:shd w:val="clear" w:color="auto" w:fill="FFFFFF"/>
        <w:spacing w:before="100" w:beforeAutospacing="1" w:after="100" w:afterAutospacing="1" w:line="360"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The third measure identifies adverse drug events (ADEs) from unreconciled medication on admission.</w:t>
      </w:r>
    </w:p>
    <w:p w14:paraId="70731739" w14:textId="77777777" w:rsidR="00250E55" w:rsidRPr="00250E55" w:rsidRDefault="00250E55" w:rsidP="00250E55">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These measures can be applied to transfer within the facility and discharge.</w:t>
      </w:r>
    </w:p>
    <w:p w14:paraId="0A4EC877" w14:textId="77777777" w:rsidR="00250E55" w:rsidRPr="00250E55" w:rsidRDefault="00250E55" w:rsidP="00250E55">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b/>
          <w:bCs/>
          <w:color w:val="1B1B1B"/>
          <w:kern w:val="0"/>
          <w:sz w:val="26"/>
          <w:szCs w:val="26"/>
          <w14:ligatures w14:val="none"/>
        </w:rPr>
        <w:t>Examples of Manual Audit Tools.</w:t>
      </w:r>
      <w:r w:rsidRPr="00250E55">
        <w:rPr>
          <w:rFonts w:ascii="Source Sans Pro" w:eastAsia="Times New Roman" w:hAnsi="Source Sans Pro" w:cs="Times New Roman"/>
          <w:color w:val="1B1B1B"/>
          <w:kern w:val="0"/>
          <w:sz w:val="26"/>
          <w:szCs w:val="26"/>
          <w14:ligatures w14:val="none"/>
        </w:rPr>
        <w:t> Manual retrospective audits conducted on patient charts by unit, specialty, etc., will be the standard method for most facilities without EHR systems to measure their process and outcome data. A sample of a paper-based audit tool that can be used when performing a manual audit for medication reconciliation can be found in the "Medication Reconciliation Audit Form" in the </w:t>
      </w:r>
      <w:hyperlink r:id="rId49" w:history="1">
        <w:r w:rsidRPr="00250E55">
          <w:rPr>
            <w:rFonts w:ascii="Source Sans Pro" w:eastAsia="Times New Roman" w:hAnsi="Source Sans Pro" w:cs="Times New Roman"/>
            <w:color w:val="005B94"/>
            <w:kern w:val="0"/>
            <w:sz w:val="26"/>
            <w:szCs w:val="26"/>
            <w:u w:val="single"/>
            <w14:ligatures w14:val="none"/>
          </w:rPr>
          <w:t>Appendix</w:t>
        </w:r>
      </w:hyperlink>
      <w:r w:rsidRPr="00250E55">
        <w:rPr>
          <w:rFonts w:ascii="Source Sans Pro" w:eastAsia="Times New Roman" w:hAnsi="Source Sans Pro" w:cs="Times New Roman"/>
          <w:color w:val="1B1B1B"/>
          <w:kern w:val="0"/>
          <w:sz w:val="26"/>
          <w:szCs w:val="26"/>
          <w14:ligatures w14:val="none"/>
        </w:rPr>
        <w:t>.</w:t>
      </w:r>
      <w:bookmarkStart w:id="16" w:name="tab4"/>
      <w:r w:rsidRPr="00250E55">
        <w:rPr>
          <w:rFonts w:ascii="Source Sans Pro" w:eastAsia="Times New Roman" w:hAnsi="Source Sans Pro" w:cs="Times New Roman"/>
          <w:color w:val="1B1B1B"/>
          <w:kern w:val="0"/>
          <w:sz w:val="26"/>
          <w:szCs w:val="26"/>
          <w14:ligatures w14:val="none"/>
        </w:rPr>
        <w:t> </w:t>
      </w:r>
      <w:bookmarkEnd w:id="16"/>
    </w:p>
    <w:p w14:paraId="0B6D4025" w14:textId="77777777" w:rsidR="00250E55" w:rsidRPr="00250E55" w:rsidRDefault="00250E55" w:rsidP="00250E55">
      <w:pPr>
        <w:shd w:val="clear" w:color="auto" w:fill="FFFFFF"/>
        <w:spacing w:after="100" w:afterAutospacing="1" w:line="312" w:lineRule="atLeast"/>
        <w:outlineLvl w:val="2"/>
        <w:rPr>
          <w:rFonts w:ascii="Arial" w:eastAsia="Times New Roman" w:hAnsi="Arial" w:cs="Arial"/>
          <w:b/>
          <w:bCs/>
          <w:color w:val="1B1B1B"/>
          <w:kern w:val="0"/>
          <w:sz w:val="36"/>
          <w:szCs w:val="36"/>
          <w14:ligatures w14:val="none"/>
        </w:rPr>
      </w:pPr>
      <w:r w:rsidRPr="00250E55">
        <w:rPr>
          <w:rFonts w:ascii="Arial" w:eastAsia="Times New Roman" w:hAnsi="Arial" w:cs="Arial"/>
          <w:b/>
          <w:bCs/>
          <w:color w:val="1B1B1B"/>
          <w:kern w:val="0"/>
          <w:sz w:val="36"/>
          <w:szCs w:val="36"/>
          <w14:ligatures w14:val="none"/>
        </w:rPr>
        <w:t>Reporting Audit Results</w:t>
      </w:r>
    </w:p>
    <w:p w14:paraId="794286C8" w14:textId="77777777" w:rsidR="00250E55" w:rsidRPr="00250E55" w:rsidRDefault="00250E55" w:rsidP="00250E55">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In addition to performing the audits, auditors will need to communicate the results. </w:t>
      </w:r>
      <w:hyperlink r:id="rId50" w:history="1">
        <w:r w:rsidRPr="00250E55">
          <w:rPr>
            <w:rFonts w:ascii="Source Sans Pro" w:eastAsia="Times New Roman" w:hAnsi="Source Sans Pro" w:cs="Times New Roman"/>
            <w:color w:val="005B94"/>
            <w:kern w:val="0"/>
            <w:sz w:val="26"/>
            <w:szCs w:val="26"/>
            <w:u w:val="single"/>
            <w14:ligatures w14:val="none"/>
          </w:rPr>
          <w:t>Table 4</w:t>
        </w:r>
      </w:hyperlink>
      <w:r w:rsidRPr="00250E55">
        <w:rPr>
          <w:rFonts w:ascii="Source Sans Pro" w:eastAsia="Times New Roman" w:hAnsi="Source Sans Pro" w:cs="Times New Roman"/>
          <w:color w:val="1B1B1B"/>
          <w:kern w:val="0"/>
          <w:sz w:val="26"/>
          <w:szCs w:val="26"/>
          <w14:ligatures w14:val="none"/>
        </w:rPr>
        <w:t xml:space="preserve"> is an example of how to display medication reconciliation audit results </w:t>
      </w:r>
      <w:r w:rsidRPr="00250E55">
        <w:rPr>
          <w:rFonts w:ascii="Source Sans Pro" w:eastAsia="Times New Roman" w:hAnsi="Source Sans Pro" w:cs="Times New Roman"/>
          <w:color w:val="1B1B1B"/>
          <w:kern w:val="0"/>
          <w:sz w:val="26"/>
          <w:szCs w:val="26"/>
          <w14:ligatures w14:val="none"/>
        </w:rPr>
        <w:lastRenderedPageBreak/>
        <w:t>for a given day. Depending on the size of the organization, the number of charts reviewed may vary.</w:t>
      </w:r>
    </w:p>
    <w:p w14:paraId="0839A178" w14:textId="77777777" w:rsidR="00250E55" w:rsidRPr="00250E55" w:rsidRDefault="00250E55" w:rsidP="00250E55">
      <w:pPr>
        <w:shd w:val="clear" w:color="auto" w:fill="FFFFFF"/>
        <w:spacing w:after="100" w:afterAutospacing="1" w:line="312" w:lineRule="atLeast"/>
        <w:outlineLvl w:val="2"/>
        <w:rPr>
          <w:rFonts w:ascii="Arial" w:eastAsia="Times New Roman" w:hAnsi="Arial" w:cs="Arial"/>
          <w:b/>
          <w:bCs/>
          <w:color w:val="1B1B1B"/>
          <w:kern w:val="0"/>
          <w:sz w:val="36"/>
          <w:szCs w:val="36"/>
          <w14:ligatures w14:val="none"/>
        </w:rPr>
      </w:pPr>
      <w:r w:rsidRPr="00250E55">
        <w:rPr>
          <w:rFonts w:ascii="Arial" w:eastAsia="Times New Roman" w:hAnsi="Arial" w:cs="Arial"/>
          <w:b/>
          <w:bCs/>
          <w:color w:val="1B1B1B"/>
          <w:kern w:val="0"/>
          <w:sz w:val="36"/>
          <w:szCs w:val="36"/>
          <w14:ligatures w14:val="none"/>
        </w:rPr>
        <w:t>Post-Implementation Strategies to Increase and Sustain Compliance</w:t>
      </w:r>
    </w:p>
    <w:p w14:paraId="25F420FB" w14:textId="77777777" w:rsidR="00250E55" w:rsidRPr="00250E55" w:rsidRDefault="00250E55" w:rsidP="00250E55">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Post-implementation audits can help identify areas with low compliance to the new medication reconciliation process. With any new process or procedure, it is important to understand the root cause (i.e., knowledge deficit, lack of training, no buy-in) of compliance issues and tailor improvement strategies to address them. This section outlines three examples of improvement strategies that can increase or sustain compliance for the new medication reconciliation process:</w:t>
      </w:r>
      <w:bookmarkStart w:id="17" w:name="tab5"/>
      <w:r w:rsidRPr="00250E55">
        <w:rPr>
          <w:rFonts w:ascii="Source Sans Pro" w:eastAsia="Times New Roman" w:hAnsi="Source Sans Pro" w:cs="Times New Roman"/>
          <w:color w:val="1B1B1B"/>
          <w:kern w:val="0"/>
          <w:sz w:val="26"/>
          <w:szCs w:val="26"/>
          <w14:ligatures w14:val="none"/>
        </w:rPr>
        <w:t> </w:t>
      </w:r>
      <w:bookmarkEnd w:id="17"/>
    </w:p>
    <w:p w14:paraId="21A2135A" w14:textId="77777777" w:rsidR="00250E55" w:rsidRPr="00250E55" w:rsidRDefault="00250E55" w:rsidP="00250E55">
      <w:pPr>
        <w:numPr>
          <w:ilvl w:val="0"/>
          <w:numId w:val="53"/>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Identifying and addressing barriers for low compliance.</w:t>
      </w:r>
    </w:p>
    <w:p w14:paraId="61CD3930" w14:textId="77777777" w:rsidR="00250E55" w:rsidRPr="00250E55" w:rsidRDefault="00250E55" w:rsidP="00250E55">
      <w:pPr>
        <w:numPr>
          <w:ilvl w:val="0"/>
          <w:numId w:val="53"/>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Conducting focus groups.</w:t>
      </w:r>
    </w:p>
    <w:p w14:paraId="1917C9F2" w14:textId="77777777" w:rsidR="00250E55" w:rsidRPr="00250E55" w:rsidRDefault="00250E55" w:rsidP="00250E55">
      <w:pPr>
        <w:numPr>
          <w:ilvl w:val="0"/>
          <w:numId w:val="53"/>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Taking medication reconciliation "on the road."</w:t>
      </w:r>
    </w:p>
    <w:p w14:paraId="40AB04C8" w14:textId="77777777" w:rsidR="00250E55" w:rsidRPr="00250E55" w:rsidRDefault="00250E55" w:rsidP="00250E55">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b/>
          <w:bCs/>
          <w:color w:val="1B1B1B"/>
          <w:kern w:val="0"/>
          <w:sz w:val="26"/>
          <w:szCs w:val="26"/>
          <w14:ligatures w14:val="none"/>
        </w:rPr>
        <w:t>Identifying Challenges and Addressing Barriers.</w:t>
      </w:r>
      <w:r w:rsidRPr="00250E55">
        <w:rPr>
          <w:rFonts w:ascii="Source Sans Pro" w:eastAsia="Times New Roman" w:hAnsi="Source Sans Pro" w:cs="Times New Roman"/>
          <w:color w:val="1B1B1B"/>
          <w:kern w:val="0"/>
          <w:sz w:val="26"/>
          <w:szCs w:val="26"/>
          <w14:ligatures w14:val="none"/>
        </w:rPr>
        <w:t> It is helpful to outline challenges faced during implementation and actions that have been or will be taken to address each challenge. </w:t>
      </w:r>
      <w:hyperlink r:id="rId51" w:history="1">
        <w:r w:rsidRPr="00250E55">
          <w:rPr>
            <w:rFonts w:ascii="Source Sans Pro" w:eastAsia="Times New Roman" w:hAnsi="Source Sans Pro" w:cs="Times New Roman"/>
            <w:color w:val="005B94"/>
            <w:kern w:val="0"/>
            <w:sz w:val="26"/>
            <w:szCs w:val="26"/>
            <w:u w:val="single"/>
            <w14:ligatures w14:val="none"/>
          </w:rPr>
          <w:t>Table 5</w:t>
        </w:r>
      </w:hyperlink>
      <w:r w:rsidRPr="00250E55">
        <w:rPr>
          <w:rFonts w:ascii="Source Sans Pro" w:eastAsia="Times New Roman" w:hAnsi="Source Sans Pro" w:cs="Times New Roman"/>
          <w:color w:val="1B1B1B"/>
          <w:kern w:val="0"/>
          <w:sz w:val="26"/>
          <w:szCs w:val="26"/>
          <w14:ligatures w14:val="none"/>
        </w:rPr>
        <w:t xml:space="preserve"> is a template that can be used to clearly list each challenge, observations associated with the challenge, a proposed action, and the next steps or responsible party for </w:t>
      </w:r>
      <w:proofErr w:type="spellStart"/>
      <w:r w:rsidRPr="00250E55">
        <w:rPr>
          <w:rFonts w:ascii="Source Sans Pro" w:eastAsia="Times New Roman" w:hAnsi="Source Sans Pro" w:cs="Times New Roman"/>
          <w:color w:val="1B1B1B"/>
          <w:kern w:val="0"/>
          <w:sz w:val="26"/>
          <w:szCs w:val="26"/>
          <w14:ligatures w14:val="none"/>
        </w:rPr>
        <w:t>followup</w:t>
      </w:r>
      <w:proofErr w:type="spellEnd"/>
      <w:r w:rsidRPr="00250E55">
        <w:rPr>
          <w:rFonts w:ascii="Source Sans Pro" w:eastAsia="Times New Roman" w:hAnsi="Source Sans Pro" w:cs="Times New Roman"/>
          <w:color w:val="1B1B1B"/>
          <w:kern w:val="0"/>
          <w:sz w:val="26"/>
          <w:szCs w:val="26"/>
          <w14:ligatures w14:val="none"/>
        </w:rPr>
        <w:t>. This will keep you and the medication reconciliation leadership team updated on the progress of each identified roadblock to effective medication reconciliation. The </w:t>
      </w:r>
      <w:hyperlink r:id="rId52" w:history="1">
        <w:r w:rsidRPr="00250E55">
          <w:rPr>
            <w:rFonts w:ascii="Source Sans Pro" w:eastAsia="Times New Roman" w:hAnsi="Source Sans Pro" w:cs="Times New Roman"/>
            <w:color w:val="005B94"/>
            <w:kern w:val="0"/>
            <w:sz w:val="26"/>
            <w:szCs w:val="26"/>
            <w:u w:val="single"/>
            <w14:ligatures w14:val="none"/>
          </w:rPr>
          <w:t>Appendix</w:t>
        </w:r>
      </w:hyperlink>
      <w:r w:rsidRPr="00250E55">
        <w:rPr>
          <w:rFonts w:ascii="Source Sans Pro" w:eastAsia="Times New Roman" w:hAnsi="Source Sans Pro" w:cs="Times New Roman"/>
          <w:color w:val="1B1B1B"/>
          <w:kern w:val="0"/>
          <w:sz w:val="26"/>
          <w:szCs w:val="26"/>
          <w14:ligatures w14:val="none"/>
        </w:rPr>
        <w:t> also has a template for identifying challenges and addressing barriers.</w:t>
      </w:r>
    </w:p>
    <w:p w14:paraId="7BE34B83" w14:textId="77777777" w:rsidR="00250E55" w:rsidRPr="00250E55" w:rsidRDefault="00250E55" w:rsidP="00250E55">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b/>
          <w:bCs/>
          <w:color w:val="1B1B1B"/>
          <w:kern w:val="0"/>
          <w:sz w:val="26"/>
          <w:szCs w:val="26"/>
          <w14:ligatures w14:val="none"/>
        </w:rPr>
        <w:t>Conducting Focus Groups.</w:t>
      </w:r>
      <w:r w:rsidRPr="00250E55">
        <w:rPr>
          <w:rFonts w:ascii="Source Sans Pro" w:eastAsia="Times New Roman" w:hAnsi="Source Sans Pro" w:cs="Times New Roman"/>
          <w:color w:val="1B1B1B"/>
          <w:kern w:val="0"/>
          <w:sz w:val="26"/>
          <w:szCs w:val="26"/>
          <w14:ligatures w14:val="none"/>
        </w:rPr>
        <w:t> During monitoring efforts, if you identify certain areas or disciplines with low adherence to the process, it may be necessary to circle back to frontline staff to find out what is working and what is not working. Proactively seeking this information will decrease the amount of frustration the frontline staff feel about the newly implemented medication reconciliation process. For more information about focus groups and how to facilitate one, refer to </w:t>
      </w:r>
      <w:hyperlink r:id="rId53" w:history="1">
        <w:r w:rsidRPr="00250E55">
          <w:rPr>
            <w:rFonts w:ascii="Source Sans Pro" w:eastAsia="Times New Roman" w:hAnsi="Source Sans Pro" w:cs="Times New Roman"/>
            <w:color w:val="005B94"/>
            <w:kern w:val="0"/>
            <w:sz w:val="26"/>
            <w:szCs w:val="26"/>
            <w:u w:val="single"/>
            <w14:ligatures w14:val="none"/>
          </w:rPr>
          <w:t>Chapter 4: Developing and Pilot Testing Change: Implementing the Medication Reconciliation Process</w:t>
        </w:r>
      </w:hyperlink>
      <w:r w:rsidRPr="00250E55">
        <w:rPr>
          <w:rFonts w:ascii="Source Sans Pro" w:eastAsia="Times New Roman" w:hAnsi="Source Sans Pro" w:cs="Times New Roman"/>
          <w:color w:val="1B1B1B"/>
          <w:kern w:val="0"/>
          <w:sz w:val="26"/>
          <w:szCs w:val="26"/>
          <w14:ligatures w14:val="none"/>
        </w:rPr>
        <w:t>.</w:t>
      </w:r>
    </w:p>
    <w:p w14:paraId="59D4DF24" w14:textId="77777777" w:rsidR="00250E55" w:rsidRPr="00250E55" w:rsidRDefault="00250E55" w:rsidP="00250E55">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b/>
          <w:bCs/>
          <w:color w:val="1B1B1B"/>
          <w:kern w:val="0"/>
          <w:sz w:val="26"/>
          <w:szCs w:val="26"/>
          <w14:ligatures w14:val="none"/>
        </w:rPr>
        <w:t>Taking Medication Reconciliation "on the Road."</w:t>
      </w:r>
      <w:r w:rsidRPr="00250E55">
        <w:rPr>
          <w:rFonts w:ascii="Source Sans Pro" w:eastAsia="Times New Roman" w:hAnsi="Source Sans Pro" w:cs="Times New Roman"/>
          <w:color w:val="1B1B1B"/>
          <w:kern w:val="0"/>
          <w:sz w:val="26"/>
          <w:szCs w:val="26"/>
          <w14:ligatures w14:val="none"/>
        </w:rPr>
        <w:t xml:space="preserve"> If physician compliance is a troubling issue, consider a medication reconciliation road show. </w:t>
      </w:r>
      <w:proofErr w:type="gramStart"/>
      <w:r w:rsidRPr="00250E55">
        <w:rPr>
          <w:rFonts w:ascii="Source Sans Pro" w:eastAsia="Times New Roman" w:hAnsi="Source Sans Pro" w:cs="Times New Roman"/>
          <w:color w:val="1B1B1B"/>
          <w:kern w:val="0"/>
          <w:sz w:val="26"/>
          <w:szCs w:val="26"/>
          <w14:ligatures w14:val="none"/>
        </w:rPr>
        <w:t>Similar to</w:t>
      </w:r>
      <w:proofErr w:type="gramEnd"/>
      <w:r w:rsidRPr="00250E55">
        <w:rPr>
          <w:rFonts w:ascii="Source Sans Pro" w:eastAsia="Times New Roman" w:hAnsi="Source Sans Pro" w:cs="Times New Roman"/>
          <w:color w:val="1B1B1B"/>
          <w:kern w:val="0"/>
          <w:sz w:val="26"/>
          <w:szCs w:val="26"/>
          <w14:ligatures w14:val="none"/>
        </w:rPr>
        <w:t xml:space="preserve"> the </w:t>
      </w:r>
      <w:r w:rsidRPr="00250E55">
        <w:rPr>
          <w:rFonts w:ascii="Source Sans Pro" w:eastAsia="Times New Roman" w:hAnsi="Source Sans Pro" w:cs="Times New Roman"/>
          <w:color w:val="1B1B1B"/>
          <w:kern w:val="0"/>
          <w:sz w:val="26"/>
          <w:szCs w:val="26"/>
          <w14:ligatures w14:val="none"/>
        </w:rPr>
        <w:lastRenderedPageBreak/>
        <w:t>concept of executive walk rounds, having organizational leadership on the floors talking to frontline staff about the importance of medication reconciliation is a way to help increase compliance. To get a road show started, it is a good idea to provide leadership with examples of close calls the organization has had with medication reconciliation. By leadership telling the story to frontline staff of potentially harmful situations related to medication reconciliation, it might help reinforce the need. The objectives of the road show are:</w:t>
      </w:r>
    </w:p>
    <w:p w14:paraId="56816056" w14:textId="77777777" w:rsidR="00250E55" w:rsidRPr="00250E55" w:rsidRDefault="00250E55" w:rsidP="00250E55">
      <w:pPr>
        <w:numPr>
          <w:ilvl w:val="0"/>
          <w:numId w:val="54"/>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Create a clear level of accountability for performing medication reconciliation.</w:t>
      </w:r>
    </w:p>
    <w:p w14:paraId="3C59B18A" w14:textId="77777777" w:rsidR="00250E55" w:rsidRPr="00250E55" w:rsidRDefault="00250E55" w:rsidP="00250E55">
      <w:pPr>
        <w:numPr>
          <w:ilvl w:val="0"/>
          <w:numId w:val="54"/>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Emphasize that the new medication reconciliation process is </w:t>
      </w:r>
      <w:r w:rsidRPr="00250E55">
        <w:rPr>
          <w:rFonts w:ascii="Source Sans Pro" w:eastAsia="Times New Roman" w:hAnsi="Source Sans Pro" w:cs="Times New Roman"/>
          <w:b/>
          <w:bCs/>
          <w:color w:val="1B1B1B"/>
          <w:kern w:val="0"/>
          <w:sz w:val="26"/>
          <w:szCs w:val="26"/>
          <w14:ligatures w14:val="none"/>
        </w:rPr>
        <w:t>not</w:t>
      </w:r>
      <w:r w:rsidRPr="00250E55">
        <w:rPr>
          <w:rFonts w:ascii="Source Sans Pro" w:eastAsia="Times New Roman" w:hAnsi="Source Sans Pro" w:cs="Times New Roman"/>
          <w:color w:val="1B1B1B"/>
          <w:kern w:val="0"/>
          <w:sz w:val="26"/>
          <w:szCs w:val="26"/>
          <w14:ligatures w14:val="none"/>
        </w:rPr>
        <w:t> optional.</w:t>
      </w:r>
    </w:p>
    <w:p w14:paraId="57FCBCFE" w14:textId="77777777" w:rsidR="00250E55" w:rsidRPr="00250E55" w:rsidRDefault="00250E55" w:rsidP="00250E55">
      <w:pPr>
        <w:numPr>
          <w:ilvl w:val="0"/>
          <w:numId w:val="54"/>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Reinforce the importance of obtaining a complete and accurate medication history, documenting the medication history in the appropriate place in the medical record, and facilitating a thorough transfer and discharge process across the continuum of care.</w:t>
      </w:r>
    </w:p>
    <w:p w14:paraId="15EB4F84" w14:textId="77777777" w:rsidR="00250E55" w:rsidRPr="00250E55" w:rsidRDefault="00250E55" w:rsidP="00250E55">
      <w:pPr>
        <w:numPr>
          <w:ilvl w:val="0"/>
          <w:numId w:val="54"/>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Obtain feedback from frontline staff to learn what is perceived as obstacles to performing medication reconciliation.</w:t>
      </w:r>
    </w:p>
    <w:p w14:paraId="7F563C5D" w14:textId="77777777" w:rsidR="00250E55" w:rsidRPr="00250E55" w:rsidRDefault="00250E55" w:rsidP="00250E55">
      <w:pPr>
        <w:numPr>
          <w:ilvl w:val="0"/>
          <w:numId w:val="54"/>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Assess the impact that medication reconciliation is having on patient safety of each identified roadblock to effective medication reconciliation.</w:t>
      </w:r>
    </w:p>
    <w:p w14:paraId="2A56AB94" w14:textId="77777777" w:rsidR="00250E55" w:rsidRPr="00250E55" w:rsidRDefault="00250E55" w:rsidP="00250E55">
      <w:pPr>
        <w:shd w:val="clear" w:color="auto" w:fill="FFFFFF"/>
        <w:spacing w:after="100" w:afterAutospacing="1" w:line="312" w:lineRule="atLeast"/>
        <w:outlineLvl w:val="2"/>
        <w:rPr>
          <w:rFonts w:ascii="Arial" w:eastAsia="Times New Roman" w:hAnsi="Arial" w:cs="Arial"/>
          <w:b/>
          <w:bCs/>
          <w:color w:val="1B1B1B"/>
          <w:kern w:val="0"/>
          <w:sz w:val="36"/>
          <w:szCs w:val="36"/>
          <w14:ligatures w14:val="none"/>
        </w:rPr>
      </w:pPr>
      <w:r w:rsidRPr="00250E55">
        <w:rPr>
          <w:rFonts w:ascii="Arial" w:eastAsia="Times New Roman" w:hAnsi="Arial" w:cs="Arial"/>
          <w:b/>
          <w:bCs/>
          <w:color w:val="1B1B1B"/>
          <w:kern w:val="0"/>
          <w:sz w:val="36"/>
          <w:szCs w:val="36"/>
          <w14:ligatures w14:val="none"/>
        </w:rPr>
        <w:t>Special Considerations: The National Coordinating Council for Medication Error Reporting and Prevention (NCC MERP)</w:t>
      </w:r>
      <w:bookmarkStart w:id="18" w:name="tab6"/>
      <w:r w:rsidRPr="00250E55">
        <w:rPr>
          <w:rFonts w:ascii="Arial" w:eastAsia="Times New Roman" w:hAnsi="Arial" w:cs="Arial"/>
          <w:b/>
          <w:bCs/>
          <w:color w:val="1B1B1B"/>
          <w:kern w:val="0"/>
          <w:sz w:val="36"/>
          <w:szCs w:val="36"/>
          <w14:ligatures w14:val="none"/>
        </w:rPr>
        <w:t> </w:t>
      </w:r>
      <w:bookmarkEnd w:id="18"/>
    </w:p>
    <w:p w14:paraId="5A0126E7" w14:textId="77777777" w:rsidR="00250E55" w:rsidRPr="00250E55" w:rsidRDefault="00250E55" w:rsidP="00250E55">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NCC MERP developed categories for classifying medication errors. This index considers factors such as whether the error reached the patient and, if the patient was harmed, to what degree.</w:t>
      </w:r>
    </w:p>
    <w:p w14:paraId="793E5976" w14:textId="54E6B81F" w:rsidR="00250E55" w:rsidRPr="00250E55" w:rsidRDefault="00250E55" w:rsidP="00250E55">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hyperlink r:id="rId54" w:history="1">
        <w:r w:rsidRPr="00250E55">
          <w:rPr>
            <w:rFonts w:ascii="Source Sans Pro" w:eastAsia="Times New Roman" w:hAnsi="Source Sans Pro" w:cs="Times New Roman"/>
            <w:color w:val="005B94"/>
            <w:kern w:val="0"/>
            <w:sz w:val="26"/>
            <w:szCs w:val="26"/>
            <w:u w:val="single"/>
            <w14:ligatures w14:val="none"/>
          </w:rPr>
          <w:t>Table 6</w:t>
        </w:r>
      </w:hyperlink>
      <w:r w:rsidRPr="00250E55">
        <w:rPr>
          <w:rFonts w:ascii="Source Sans Pro" w:eastAsia="Times New Roman" w:hAnsi="Source Sans Pro" w:cs="Times New Roman"/>
          <w:color w:val="1B1B1B"/>
          <w:kern w:val="0"/>
          <w:sz w:val="26"/>
          <w:szCs w:val="26"/>
          <w14:ligatures w14:val="none"/>
        </w:rPr>
        <w:t> explains the different categories of medication error classification. Different categories of medication error classification were adapted into the table below. Examples of medication reconciliation errors are included to illustrate how this index can be used to classify each example based on the NCC MERP index. For more information about the classification of medication errors visit </w:t>
      </w:r>
      <w:hyperlink r:id="rId55" w:tgtFrame="_blank" w:history="1">
        <w:r w:rsidRPr="00250E55">
          <w:rPr>
            <w:rFonts w:ascii="Source Sans Pro" w:eastAsia="Times New Roman" w:hAnsi="Source Sans Pro" w:cs="Times New Roman"/>
            <w:color w:val="005B94"/>
            <w:kern w:val="0"/>
            <w:sz w:val="26"/>
            <w:szCs w:val="26"/>
            <w:u w:val="single"/>
            <w14:ligatures w14:val="none"/>
          </w:rPr>
          <w:t>http://www.nccmerp.org</w:t>
        </w:r>
      </w:hyperlink>
      <w:r w:rsidRPr="00250E55">
        <w:rPr>
          <w:rFonts w:ascii="Source Sans Pro" w:eastAsia="Times New Roman" w:hAnsi="Source Sans Pro" w:cs="Times New Roman"/>
          <w:color w:val="1B1B1B"/>
          <w:kern w:val="0"/>
          <w:sz w:val="26"/>
          <w:szCs w:val="26"/>
          <w14:ligatures w14:val="none"/>
        </w:rPr>
        <w:t> </w:t>
      </w:r>
      <w:r w:rsidRPr="00250E55">
        <w:rPr>
          <w:rFonts w:ascii="Source Sans Pro" w:eastAsia="Times New Roman" w:hAnsi="Source Sans Pro" w:cs="Times New Roman"/>
          <w:noProof/>
          <w:color w:val="005B94"/>
          <w:kern w:val="0"/>
          <w:sz w:val="26"/>
          <w:szCs w:val="26"/>
          <w14:ligatures w14:val="none"/>
        </w:rPr>
        <w:drawing>
          <wp:inline distT="0" distB="0" distL="0" distR="0" wp14:anchorId="2FFFCDAC" wp14:editId="33E0DF63">
            <wp:extent cx="253365" cy="253365"/>
            <wp:effectExtent l="0" t="0" r="635" b="635"/>
            <wp:docPr id="1389434309" name="Picture 3" descr="External Link Disclaimer">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ternal Link Disclaimer">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3365" cy="253365"/>
                    </a:xfrm>
                    <a:prstGeom prst="rect">
                      <a:avLst/>
                    </a:prstGeom>
                    <a:noFill/>
                    <a:ln>
                      <a:noFill/>
                    </a:ln>
                  </pic:spPr>
                </pic:pic>
              </a:graphicData>
            </a:graphic>
          </wp:inline>
        </w:drawing>
      </w:r>
      <w:r w:rsidRPr="00250E55">
        <w:rPr>
          <w:rFonts w:ascii="Source Sans Pro" w:eastAsia="Times New Roman" w:hAnsi="Source Sans Pro" w:cs="Times New Roman"/>
          <w:color w:val="1B1B1B"/>
          <w:kern w:val="0"/>
          <w:sz w:val="26"/>
          <w:szCs w:val="26"/>
          <w14:ligatures w14:val="none"/>
        </w:rPr>
        <w:t>.</w:t>
      </w:r>
    </w:p>
    <w:p w14:paraId="67FAF322" w14:textId="77777777" w:rsidR="00250E55" w:rsidRPr="00250E55" w:rsidRDefault="00250E55" w:rsidP="00250E55">
      <w:pPr>
        <w:shd w:val="clear" w:color="auto" w:fill="FFFFFF"/>
        <w:spacing w:after="100" w:afterAutospacing="1" w:line="312" w:lineRule="atLeast"/>
        <w:outlineLvl w:val="2"/>
        <w:rPr>
          <w:rFonts w:ascii="Arial" w:eastAsia="Times New Roman" w:hAnsi="Arial" w:cs="Arial"/>
          <w:b/>
          <w:bCs/>
          <w:color w:val="1B1B1B"/>
          <w:kern w:val="0"/>
          <w:sz w:val="36"/>
          <w:szCs w:val="36"/>
          <w14:ligatures w14:val="none"/>
        </w:rPr>
      </w:pPr>
      <w:r w:rsidRPr="00250E55">
        <w:rPr>
          <w:rFonts w:ascii="Arial" w:eastAsia="Times New Roman" w:hAnsi="Arial" w:cs="Arial"/>
          <w:b/>
          <w:bCs/>
          <w:color w:val="1B1B1B"/>
          <w:kern w:val="0"/>
          <w:sz w:val="36"/>
          <w:szCs w:val="36"/>
          <w14:ligatures w14:val="none"/>
        </w:rPr>
        <w:t>Chapter 6 Lessons Learned</w:t>
      </w:r>
    </w:p>
    <w:p w14:paraId="214E5584" w14:textId="77777777" w:rsidR="00250E55" w:rsidRPr="00250E55" w:rsidRDefault="00250E55" w:rsidP="00250E55">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lastRenderedPageBreak/>
        <w:t>Lessons learned from staff of facilities that have implemented MATCH and facilities that received technical assistance on MATCH through the AHRQ QIO Learning Network include:</w:t>
      </w:r>
    </w:p>
    <w:p w14:paraId="55336D96" w14:textId="77777777" w:rsidR="00250E55" w:rsidRPr="00250E55" w:rsidRDefault="00250E55" w:rsidP="00250E55">
      <w:pPr>
        <w:numPr>
          <w:ilvl w:val="0"/>
          <w:numId w:val="55"/>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Electronic audits are an easy and efficient way to show adherence to the medication reconciliation process.</w:t>
      </w:r>
    </w:p>
    <w:p w14:paraId="30FFFC05" w14:textId="77777777" w:rsidR="00250E55" w:rsidRPr="00250E55" w:rsidRDefault="00250E55" w:rsidP="00250E55">
      <w:pPr>
        <w:numPr>
          <w:ilvl w:val="0"/>
          <w:numId w:val="55"/>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Manual audits are time-consuming but help identify the quality of the medication reconciliation process and the potential impact on patient safety.</w:t>
      </w:r>
    </w:p>
    <w:p w14:paraId="67740E33" w14:textId="77777777" w:rsidR="00250E55" w:rsidRPr="00250E55" w:rsidRDefault="00250E55" w:rsidP="00250E55">
      <w:pPr>
        <w:numPr>
          <w:ilvl w:val="0"/>
          <w:numId w:val="55"/>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Prospective audits are ideal for medication reconciliation since interventions can be made if medication reconciliation was not done appropriately.</w:t>
      </w:r>
    </w:p>
    <w:p w14:paraId="6A51B82E" w14:textId="77777777" w:rsidR="00250E55" w:rsidRPr="00250E55" w:rsidRDefault="00250E55" w:rsidP="00250E55">
      <w:pPr>
        <w:numPr>
          <w:ilvl w:val="0"/>
          <w:numId w:val="55"/>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Post-implementation, medication reconciliation audits should be performed and communicated frequently.</w:t>
      </w:r>
    </w:p>
    <w:p w14:paraId="5C13AE00" w14:textId="77777777" w:rsidR="00250E55" w:rsidRPr="00250E55" w:rsidRDefault="00250E55" w:rsidP="00250E55">
      <w:pPr>
        <w:numPr>
          <w:ilvl w:val="0"/>
          <w:numId w:val="55"/>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Feedback should be communicated to senior leadership, to all management levels, and to frontline staff.</w:t>
      </w:r>
    </w:p>
    <w:p w14:paraId="7A07286A" w14:textId="77777777" w:rsidR="00250E55" w:rsidRPr="00250E55" w:rsidRDefault="00250E55" w:rsidP="00250E55">
      <w:pPr>
        <w:numPr>
          <w:ilvl w:val="0"/>
          <w:numId w:val="55"/>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Audit data can be used to obtain discipline-specific support for the project.</w:t>
      </w:r>
    </w:p>
    <w:p w14:paraId="7FA6525B" w14:textId="77777777" w:rsidR="00250E55" w:rsidRPr="00250E55" w:rsidRDefault="00250E55" w:rsidP="00250E55">
      <w:pPr>
        <w:numPr>
          <w:ilvl w:val="0"/>
          <w:numId w:val="55"/>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Concurrent review of interventions and continual feedback can be an effective way to improve compliance.</w:t>
      </w:r>
    </w:p>
    <w:p w14:paraId="2AB263D2" w14:textId="77777777" w:rsidR="00250E55" w:rsidRPr="00250E55" w:rsidRDefault="00250E55" w:rsidP="00250E55">
      <w:pPr>
        <w:shd w:val="clear" w:color="auto" w:fill="FFFFFF"/>
        <w:spacing w:after="100" w:afterAutospacing="1" w:line="360"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Users of this toolkit from the QIO Learning Network Collaborative offered many ways to use the data they collected in the medication reconciliation project as a method of feedback to staff:</w:t>
      </w:r>
    </w:p>
    <w:p w14:paraId="18AC4562" w14:textId="77777777" w:rsidR="00250E55" w:rsidRPr="00250E55" w:rsidRDefault="00250E55" w:rsidP="00250E55">
      <w:pPr>
        <w:numPr>
          <w:ilvl w:val="0"/>
          <w:numId w:val="56"/>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Using tri-board posters to display audit data to staff during training and education sessions to further stress the importance of an accurate medication history and reconciliation.</w:t>
      </w:r>
    </w:p>
    <w:p w14:paraId="23EE8F21" w14:textId="77777777" w:rsidR="00250E55" w:rsidRPr="00250E55" w:rsidRDefault="00250E55" w:rsidP="00250E55">
      <w:pPr>
        <w:numPr>
          <w:ilvl w:val="0"/>
          <w:numId w:val="56"/>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Posting data run charts in the break rooms, unit staff rooms, and physician lounges to communicate the progress the process changes are delivering to quality measures.</w:t>
      </w:r>
    </w:p>
    <w:p w14:paraId="11F5A641" w14:textId="77777777" w:rsidR="00250E55" w:rsidRPr="00250E55" w:rsidRDefault="00250E55" w:rsidP="00250E55">
      <w:pPr>
        <w:numPr>
          <w:ilvl w:val="0"/>
          <w:numId w:val="56"/>
        </w:num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r w:rsidRPr="00250E55">
        <w:rPr>
          <w:rFonts w:ascii="Source Sans Pro" w:eastAsia="Times New Roman" w:hAnsi="Source Sans Pro" w:cs="Times New Roman"/>
          <w:color w:val="1B1B1B"/>
          <w:kern w:val="0"/>
          <w:sz w:val="26"/>
          <w:szCs w:val="26"/>
          <w14:ligatures w14:val="none"/>
        </w:rPr>
        <w:t>Use data to create a "competitive" atmosphere to drive acceptance of process change.</w:t>
      </w:r>
    </w:p>
    <w:p w14:paraId="17F7C71C" w14:textId="77777777" w:rsidR="00250E55" w:rsidRPr="00250E55" w:rsidRDefault="00250E55" w:rsidP="00250E55">
      <w:pPr>
        <w:spacing w:after="0" w:line="240" w:lineRule="auto"/>
        <w:rPr>
          <w:rFonts w:ascii="Times New Roman" w:eastAsia="Times New Roman" w:hAnsi="Times New Roman" w:cs="Times New Roman"/>
          <w:kern w:val="0"/>
          <w14:ligatures w14:val="none"/>
        </w:rPr>
      </w:pPr>
    </w:p>
    <w:p w14:paraId="639BC257" w14:textId="77777777" w:rsidR="00250E55" w:rsidRPr="00E61A29" w:rsidRDefault="00250E55" w:rsidP="00E61A29">
      <w:pPr>
        <w:shd w:val="clear" w:color="auto" w:fill="FFFFFF"/>
        <w:spacing w:after="100" w:afterAutospacing="1" w:line="312" w:lineRule="atLeast"/>
        <w:outlineLvl w:val="1"/>
        <w:rPr>
          <w:rFonts w:ascii="Arial" w:eastAsia="Times New Roman" w:hAnsi="Arial" w:cs="Arial"/>
          <w:b/>
          <w:bCs/>
          <w:color w:val="1B1B1B"/>
          <w:kern w:val="0"/>
          <w:sz w:val="45"/>
          <w:szCs w:val="45"/>
          <w14:ligatures w14:val="none"/>
        </w:rPr>
      </w:pPr>
    </w:p>
    <w:p w14:paraId="7F5D7907" w14:textId="77777777" w:rsidR="00E61A29" w:rsidRPr="00E61A29" w:rsidRDefault="00E61A29" w:rsidP="00E61A29">
      <w:pPr>
        <w:shd w:val="clear" w:color="auto" w:fill="FFFFFF"/>
        <w:spacing w:before="45" w:after="165" w:line="312" w:lineRule="atLeast"/>
        <w:rPr>
          <w:rFonts w:ascii="Source Sans Pro" w:eastAsia="Times New Roman" w:hAnsi="Source Sans Pro" w:cs="Times New Roman"/>
          <w:color w:val="1B1B1B"/>
          <w:kern w:val="0"/>
          <w:sz w:val="26"/>
          <w:szCs w:val="26"/>
          <w14:ligatures w14:val="none"/>
        </w:rPr>
      </w:pPr>
    </w:p>
    <w:p w14:paraId="787943DF" w14:textId="77777777" w:rsidR="00E61A29" w:rsidRPr="00E61A29" w:rsidRDefault="00E61A29" w:rsidP="00E61A29">
      <w:pPr>
        <w:spacing w:after="0" w:line="240" w:lineRule="auto"/>
        <w:rPr>
          <w:rFonts w:ascii="Times New Roman" w:eastAsia="Times New Roman" w:hAnsi="Times New Roman" w:cs="Times New Roman"/>
          <w:kern w:val="0"/>
          <w14:ligatures w14:val="none"/>
        </w:rPr>
      </w:pPr>
    </w:p>
    <w:p w14:paraId="6ECD319B" w14:textId="77777777" w:rsidR="007D3060" w:rsidRDefault="007D3060"/>
    <w:sectPr w:rsidR="007D30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ource Sans Pro">
    <w:panose1 w:val="020B05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9B419E"/>
    <w:multiLevelType w:val="multilevel"/>
    <w:tmpl w:val="15CED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E3295"/>
    <w:multiLevelType w:val="multilevel"/>
    <w:tmpl w:val="915A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B6368"/>
    <w:multiLevelType w:val="multilevel"/>
    <w:tmpl w:val="9010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745907"/>
    <w:multiLevelType w:val="multilevel"/>
    <w:tmpl w:val="43961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E1D8D"/>
    <w:multiLevelType w:val="multilevel"/>
    <w:tmpl w:val="A8A2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906CE"/>
    <w:multiLevelType w:val="multilevel"/>
    <w:tmpl w:val="7474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D17B8"/>
    <w:multiLevelType w:val="multilevel"/>
    <w:tmpl w:val="5C74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B2064"/>
    <w:multiLevelType w:val="multilevel"/>
    <w:tmpl w:val="CA0A7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390706"/>
    <w:multiLevelType w:val="multilevel"/>
    <w:tmpl w:val="1D68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4C52C0"/>
    <w:multiLevelType w:val="multilevel"/>
    <w:tmpl w:val="CB8C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867244"/>
    <w:multiLevelType w:val="multilevel"/>
    <w:tmpl w:val="EEA2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341BD7"/>
    <w:multiLevelType w:val="multilevel"/>
    <w:tmpl w:val="6640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E476F2"/>
    <w:multiLevelType w:val="multilevel"/>
    <w:tmpl w:val="D1B0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5C1F64"/>
    <w:multiLevelType w:val="multilevel"/>
    <w:tmpl w:val="0AEC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06A3697"/>
    <w:multiLevelType w:val="multilevel"/>
    <w:tmpl w:val="E9B0B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C72695"/>
    <w:multiLevelType w:val="multilevel"/>
    <w:tmpl w:val="B266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6E14AF"/>
    <w:multiLevelType w:val="multilevel"/>
    <w:tmpl w:val="7FA0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8B26AA"/>
    <w:multiLevelType w:val="multilevel"/>
    <w:tmpl w:val="E05CC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9061109"/>
    <w:multiLevelType w:val="multilevel"/>
    <w:tmpl w:val="8606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294584"/>
    <w:multiLevelType w:val="multilevel"/>
    <w:tmpl w:val="1BDA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C6E34BA"/>
    <w:multiLevelType w:val="multilevel"/>
    <w:tmpl w:val="06B2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331BEF"/>
    <w:multiLevelType w:val="multilevel"/>
    <w:tmpl w:val="D17A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617537"/>
    <w:multiLevelType w:val="multilevel"/>
    <w:tmpl w:val="0F56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1E190D"/>
    <w:multiLevelType w:val="multilevel"/>
    <w:tmpl w:val="6FCC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2D265A5"/>
    <w:multiLevelType w:val="multilevel"/>
    <w:tmpl w:val="54BE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CE7C57"/>
    <w:multiLevelType w:val="multilevel"/>
    <w:tmpl w:val="E8F4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AC335B"/>
    <w:multiLevelType w:val="multilevel"/>
    <w:tmpl w:val="CA66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76425C6"/>
    <w:multiLevelType w:val="multilevel"/>
    <w:tmpl w:val="B71E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CA67820"/>
    <w:multiLevelType w:val="multilevel"/>
    <w:tmpl w:val="7A767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E0548C"/>
    <w:multiLevelType w:val="multilevel"/>
    <w:tmpl w:val="8D28E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FDE7A2B"/>
    <w:multiLevelType w:val="multilevel"/>
    <w:tmpl w:val="1330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4DD1DAA"/>
    <w:multiLevelType w:val="multilevel"/>
    <w:tmpl w:val="80CED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6B3000A"/>
    <w:multiLevelType w:val="multilevel"/>
    <w:tmpl w:val="5C3A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7B7628"/>
    <w:multiLevelType w:val="multilevel"/>
    <w:tmpl w:val="4B7C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3F4821"/>
    <w:multiLevelType w:val="multilevel"/>
    <w:tmpl w:val="9D9E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AF596C"/>
    <w:multiLevelType w:val="multilevel"/>
    <w:tmpl w:val="B97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1E7F50"/>
    <w:multiLevelType w:val="multilevel"/>
    <w:tmpl w:val="C668F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C3B369D"/>
    <w:multiLevelType w:val="multilevel"/>
    <w:tmpl w:val="A9F6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F7E542D"/>
    <w:multiLevelType w:val="multilevel"/>
    <w:tmpl w:val="19F0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2D5791"/>
    <w:multiLevelType w:val="multilevel"/>
    <w:tmpl w:val="22EE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522BF1"/>
    <w:multiLevelType w:val="multilevel"/>
    <w:tmpl w:val="0DA2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5F790E"/>
    <w:multiLevelType w:val="multilevel"/>
    <w:tmpl w:val="D9C4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1D707A"/>
    <w:multiLevelType w:val="multilevel"/>
    <w:tmpl w:val="8A06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1172CA"/>
    <w:multiLevelType w:val="multilevel"/>
    <w:tmpl w:val="DC22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CD23BC9"/>
    <w:multiLevelType w:val="multilevel"/>
    <w:tmpl w:val="7AAA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C16CBD"/>
    <w:multiLevelType w:val="multilevel"/>
    <w:tmpl w:val="CE5A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C87CF5"/>
    <w:multiLevelType w:val="multilevel"/>
    <w:tmpl w:val="2F9E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E47770"/>
    <w:multiLevelType w:val="multilevel"/>
    <w:tmpl w:val="8662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392560"/>
    <w:multiLevelType w:val="multilevel"/>
    <w:tmpl w:val="29A4B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088583F"/>
    <w:multiLevelType w:val="multilevel"/>
    <w:tmpl w:val="6628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F1771B"/>
    <w:multiLevelType w:val="multilevel"/>
    <w:tmpl w:val="566A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28948DE"/>
    <w:multiLevelType w:val="multilevel"/>
    <w:tmpl w:val="73CC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3303FF7"/>
    <w:multiLevelType w:val="multilevel"/>
    <w:tmpl w:val="4CCA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56F064B"/>
    <w:multiLevelType w:val="multilevel"/>
    <w:tmpl w:val="2182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8756DE0"/>
    <w:multiLevelType w:val="multilevel"/>
    <w:tmpl w:val="F862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FB174A6"/>
    <w:multiLevelType w:val="multilevel"/>
    <w:tmpl w:val="AB42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3967139">
    <w:abstractNumId w:val="35"/>
  </w:num>
  <w:num w:numId="2" w16cid:durableId="1700668146">
    <w:abstractNumId w:val="36"/>
  </w:num>
  <w:num w:numId="3" w16cid:durableId="238029602">
    <w:abstractNumId w:val="9"/>
  </w:num>
  <w:num w:numId="4" w16cid:durableId="232203208">
    <w:abstractNumId w:val="38"/>
  </w:num>
  <w:num w:numId="5" w16cid:durableId="118844269">
    <w:abstractNumId w:val="3"/>
  </w:num>
  <w:num w:numId="6" w16cid:durableId="1011685404">
    <w:abstractNumId w:val="1"/>
  </w:num>
  <w:num w:numId="7" w16cid:durableId="1020005476">
    <w:abstractNumId w:val="22"/>
  </w:num>
  <w:num w:numId="8" w16cid:durableId="579797983">
    <w:abstractNumId w:val="0"/>
  </w:num>
  <w:num w:numId="9" w16cid:durableId="1765877586">
    <w:abstractNumId w:val="25"/>
  </w:num>
  <w:num w:numId="10" w16cid:durableId="138502891">
    <w:abstractNumId w:val="29"/>
  </w:num>
  <w:num w:numId="11" w16cid:durableId="1274052605">
    <w:abstractNumId w:val="16"/>
  </w:num>
  <w:num w:numId="12" w16cid:durableId="661854746">
    <w:abstractNumId w:val="45"/>
  </w:num>
  <w:num w:numId="13" w16cid:durableId="570967133">
    <w:abstractNumId w:val="6"/>
  </w:num>
  <w:num w:numId="14" w16cid:durableId="663893105">
    <w:abstractNumId w:val="44"/>
  </w:num>
  <w:num w:numId="15" w16cid:durableId="1872764461">
    <w:abstractNumId w:val="5"/>
  </w:num>
  <w:num w:numId="16" w16cid:durableId="178275577">
    <w:abstractNumId w:val="47"/>
  </w:num>
  <w:num w:numId="17" w16cid:durableId="1385372732">
    <w:abstractNumId w:val="41"/>
  </w:num>
  <w:num w:numId="18" w16cid:durableId="1515728101">
    <w:abstractNumId w:val="40"/>
  </w:num>
  <w:num w:numId="19" w16cid:durableId="1027218941">
    <w:abstractNumId w:val="55"/>
  </w:num>
  <w:num w:numId="20" w16cid:durableId="1071661083">
    <w:abstractNumId w:val="20"/>
  </w:num>
  <w:num w:numId="21" w16cid:durableId="1751154006">
    <w:abstractNumId w:val="10"/>
  </w:num>
  <w:num w:numId="22" w16cid:durableId="992757433">
    <w:abstractNumId w:val="15"/>
  </w:num>
  <w:num w:numId="23" w16cid:durableId="2070032940">
    <w:abstractNumId w:val="46"/>
  </w:num>
  <w:num w:numId="24" w16cid:durableId="1133400506">
    <w:abstractNumId w:val="53"/>
  </w:num>
  <w:num w:numId="25" w16cid:durableId="712578927">
    <w:abstractNumId w:val="2"/>
  </w:num>
  <w:num w:numId="26" w16cid:durableId="1425030549">
    <w:abstractNumId w:val="26"/>
  </w:num>
  <w:num w:numId="27" w16cid:durableId="74934636">
    <w:abstractNumId w:val="37"/>
  </w:num>
  <w:num w:numId="28" w16cid:durableId="80566797">
    <w:abstractNumId w:val="19"/>
  </w:num>
  <w:num w:numId="29" w16cid:durableId="899945283">
    <w:abstractNumId w:val="43"/>
  </w:num>
  <w:num w:numId="30" w16cid:durableId="916937734">
    <w:abstractNumId w:val="23"/>
  </w:num>
  <w:num w:numId="31" w16cid:durableId="1634141931">
    <w:abstractNumId w:val="7"/>
  </w:num>
  <w:num w:numId="32" w16cid:durableId="531458793">
    <w:abstractNumId w:val="13"/>
  </w:num>
  <w:num w:numId="33" w16cid:durableId="1656378229">
    <w:abstractNumId w:val="17"/>
  </w:num>
  <w:num w:numId="34" w16cid:durableId="666166">
    <w:abstractNumId w:val="54"/>
  </w:num>
  <w:num w:numId="35" w16cid:durableId="396394199">
    <w:abstractNumId w:val="12"/>
  </w:num>
  <w:num w:numId="36" w16cid:durableId="154883510">
    <w:abstractNumId w:val="31"/>
  </w:num>
  <w:num w:numId="37" w16cid:durableId="1367214780">
    <w:abstractNumId w:val="50"/>
  </w:num>
  <w:num w:numId="38" w16cid:durableId="2117866051">
    <w:abstractNumId w:val="52"/>
  </w:num>
  <w:num w:numId="39" w16cid:durableId="62071366">
    <w:abstractNumId w:val="30"/>
  </w:num>
  <w:num w:numId="40" w16cid:durableId="2092314174">
    <w:abstractNumId w:val="8"/>
  </w:num>
  <w:num w:numId="41" w16cid:durableId="2101488835">
    <w:abstractNumId w:val="27"/>
  </w:num>
  <w:num w:numId="42" w16cid:durableId="660349569">
    <w:abstractNumId w:val="51"/>
  </w:num>
  <w:num w:numId="43" w16cid:durableId="1894078414">
    <w:abstractNumId w:val="48"/>
  </w:num>
  <w:num w:numId="44" w16cid:durableId="1406414143">
    <w:abstractNumId w:val="21"/>
  </w:num>
  <w:num w:numId="45" w16cid:durableId="1361780676">
    <w:abstractNumId w:val="4"/>
  </w:num>
  <w:num w:numId="46" w16cid:durableId="563373046">
    <w:abstractNumId w:val="33"/>
  </w:num>
  <w:num w:numId="47" w16cid:durableId="1676029502">
    <w:abstractNumId w:val="14"/>
  </w:num>
  <w:num w:numId="48" w16cid:durableId="1034116894">
    <w:abstractNumId w:val="32"/>
  </w:num>
  <w:num w:numId="49" w16cid:durableId="1804076507">
    <w:abstractNumId w:val="39"/>
  </w:num>
  <w:num w:numId="50" w16cid:durableId="994652107">
    <w:abstractNumId w:val="42"/>
  </w:num>
  <w:num w:numId="51" w16cid:durableId="194855617">
    <w:abstractNumId w:val="24"/>
  </w:num>
  <w:num w:numId="52" w16cid:durableId="744717689">
    <w:abstractNumId w:val="28"/>
  </w:num>
  <w:num w:numId="53" w16cid:durableId="1565867956">
    <w:abstractNumId w:val="49"/>
  </w:num>
  <w:num w:numId="54" w16cid:durableId="432943762">
    <w:abstractNumId w:val="18"/>
  </w:num>
  <w:num w:numId="55" w16cid:durableId="1428965978">
    <w:abstractNumId w:val="34"/>
  </w:num>
  <w:num w:numId="56" w16cid:durableId="214125537">
    <w:abstractNumId w:val="11"/>
  </w:num>
  <w:numIdMacAtCleanup w:val="5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02A"/>
    <w:rsid w:val="000653A6"/>
    <w:rsid w:val="001F0600"/>
    <w:rsid w:val="00250E55"/>
    <w:rsid w:val="007D3060"/>
    <w:rsid w:val="00980AB9"/>
    <w:rsid w:val="00A066E6"/>
    <w:rsid w:val="00BE5EFB"/>
    <w:rsid w:val="00C15753"/>
    <w:rsid w:val="00CB6892"/>
    <w:rsid w:val="00DC0302"/>
    <w:rsid w:val="00E61A29"/>
    <w:rsid w:val="00E8302A"/>
    <w:rsid w:val="00EE36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C020FA"/>
  <w15:chartTrackingRefBased/>
  <w15:docId w15:val="{E3D2F6C6-F256-7D45-82EB-0AF6FB42F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0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30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30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830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30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30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0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0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0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0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30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30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830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30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30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0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0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02A"/>
    <w:rPr>
      <w:rFonts w:eastAsiaTheme="majorEastAsia" w:cstheme="majorBidi"/>
      <w:color w:val="272727" w:themeColor="text1" w:themeTint="D8"/>
    </w:rPr>
  </w:style>
  <w:style w:type="paragraph" w:styleId="Title">
    <w:name w:val="Title"/>
    <w:basedOn w:val="Normal"/>
    <w:next w:val="Normal"/>
    <w:link w:val="TitleChar"/>
    <w:uiPriority w:val="10"/>
    <w:qFormat/>
    <w:rsid w:val="00E830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0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0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0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02A"/>
    <w:pPr>
      <w:spacing w:before="160"/>
      <w:jc w:val="center"/>
    </w:pPr>
    <w:rPr>
      <w:i/>
      <w:iCs/>
      <w:color w:val="404040" w:themeColor="text1" w:themeTint="BF"/>
    </w:rPr>
  </w:style>
  <w:style w:type="character" w:customStyle="1" w:styleId="QuoteChar">
    <w:name w:val="Quote Char"/>
    <w:basedOn w:val="DefaultParagraphFont"/>
    <w:link w:val="Quote"/>
    <w:uiPriority w:val="29"/>
    <w:rsid w:val="00E8302A"/>
    <w:rPr>
      <w:i/>
      <w:iCs/>
      <w:color w:val="404040" w:themeColor="text1" w:themeTint="BF"/>
    </w:rPr>
  </w:style>
  <w:style w:type="paragraph" w:styleId="ListParagraph">
    <w:name w:val="List Paragraph"/>
    <w:basedOn w:val="Normal"/>
    <w:uiPriority w:val="34"/>
    <w:qFormat/>
    <w:rsid w:val="00E8302A"/>
    <w:pPr>
      <w:ind w:left="720"/>
      <w:contextualSpacing/>
    </w:pPr>
  </w:style>
  <w:style w:type="character" w:styleId="IntenseEmphasis">
    <w:name w:val="Intense Emphasis"/>
    <w:basedOn w:val="DefaultParagraphFont"/>
    <w:uiPriority w:val="21"/>
    <w:qFormat/>
    <w:rsid w:val="00E8302A"/>
    <w:rPr>
      <w:i/>
      <w:iCs/>
      <w:color w:val="0F4761" w:themeColor="accent1" w:themeShade="BF"/>
    </w:rPr>
  </w:style>
  <w:style w:type="paragraph" w:styleId="IntenseQuote">
    <w:name w:val="Intense Quote"/>
    <w:basedOn w:val="Normal"/>
    <w:next w:val="Normal"/>
    <w:link w:val="IntenseQuoteChar"/>
    <w:uiPriority w:val="30"/>
    <w:qFormat/>
    <w:rsid w:val="00E830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02A"/>
    <w:rPr>
      <w:i/>
      <w:iCs/>
      <w:color w:val="0F4761" w:themeColor="accent1" w:themeShade="BF"/>
    </w:rPr>
  </w:style>
  <w:style w:type="character" w:styleId="IntenseReference">
    <w:name w:val="Intense Reference"/>
    <w:basedOn w:val="DefaultParagraphFont"/>
    <w:uiPriority w:val="32"/>
    <w:qFormat/>
    <w:rsid w:val="00E8302A"/>
    <w:rPr>
      <w:b/>
      <w:bCs/>
      <w:smallCaps/>
      <w:color w:val="0F4761" w:themeColor="accent1" w:themeShade="BF"/>
      <w:spacing w:val="5"/>
    </w:rPr>
  </w:style>
  <w:style w:type="paragraph" w:styleId="NormalWeb">
    <w:name w:val="Normal (Web)"/>
    <w:basedOn w:val="Normal"/>
    <w:uiPriority w:val="99"/>
    <w:semiHidden/>
    <w:unhideWhenUsed/>
    <w:rsid w:val="00E8302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E8302A"/>
    <w:rPr>
      <w:color w:val="0000FF"/>
      <w:u w:val="single"/>
    </w:rPr>
  </w:style>
  <w:style w:type="character" w:styleId="Strong">
    <w:name w:val="Strong"/>
    <w:basedOn w:val="DefaultParagraphFont"/>
    <w:uiPriority w:val="22"/>
    <w:qFormat/>
    <w:rsid w:val="00E61A29"/>
    <w:rPr>
      <w:b/>
      <w:bCs/>
    </w:rPr>
  </w:style>
  <w:style w:type="character" w:styleId="Emphasis">
    <w:name w:val="Emphasis"/>
    <w:basedOn w:val="DefaultParagraphFont"/>
    <w:uiPriority w:val="20"/>
    <w:qFormat/>
    <w:rsid w:val="00E61A2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hrq.gov/patient-safety/settings/hospital/match/chapter-1.html" TargetMode="External"/><Relationship Id="rId18" Type="http://schemas.openxmlformats.org/officeDocument/2006/relationships/hyperlink" Target="https://www.ahrq.gov/patient-safety/settings/hospital/match/chapter-3.html" TargetMode="External"/><Relationship Id="rId26" Type="http://schemas.openxmlformats.org/officeDocument/2006/relationships/hyperlink" Target="https://www.ahrq.gov/patient-safety/settings/hospital/match/appendix/index.html" TargetMode="External"/><Relationship Id="rId39" Type="http://schemas.openxmlformats.org/officeDocument/2006/relationships/hyperlink" Target="https://www.ahrq.gov/patient-safety/settings/hospital/match/appendix/index.html" TargetMode="External"/><Relationship Id="rId21" Type="http://schemas.openxmlformats.org/officeDocument/2006/relationships/hyperlink" Target="https://www.ahrq.gov/patient-safety/settings/hospital/match/appendix/index.html" TargetMode="External"/><Relationship Id="rId34" Type="http://schemas.openxmlformats.org/officeDocument/2006/relationships/hyperlink" Target="https://www.ahrq.gov/patient-safety/settings/hospital/match/figure-5.html" TargetMode="External"/><Relationship Id="rId42" Type="http://schemas.openxmlformats.org/officeDocument/2006/relationships/hyperlink" Target="https://www.ahrq.gov/patient-safety/settings/hospital/match/figure-9.html" TargetMode="External"/><Relationship Id="rId47" Type="http://schemas.openxmlformats.org/officeDocument/2006/relationships/hyperlink" Target="https://www.ahrq.gov/patient-safety/settings/hospital/match/appendix/index.html" TargetMode="External"/><Relationship Id="rId50" Type="http://schemas.openxmlformats.org/officeDocument/2006/relationships/hyperlink" Target="https://www.ahrq.gov/patient-safety/settings/hospital/match/table-4.html" TargetMode="External"/><Relationship Id="rId55" Type="http://schemas.openxmlformats.org/officeDocument/2006/relationships/hyperlink" Target="http://www.nccmerp.org/" TargetMode="External"/><Relationship Id="rId7" Type="http://schemas.openxmlformats.org/officeDocument/2006/relationships/hyperlink" Target="https://www.ahrq.gov/externaldisclaimer.html" TargetMode="External"/><Relationship Id="rId2" Type="http://schemas.openxmlformats.org/officeDocument/2006/relationships/styles" Target="styles.xml"/><Relationship Id="rId16" Type="http://schemas.openxmlformats.org/officeDocument/2006/relationships/hyperlink" Target="http://www.hospitalcompare.hhs.gov/" TargetMode="External"/><Relationship Id="rId29" Type="http://schemas.openxmlformats.org/officeDocument/2006/relationships/hyperlink" Target="https://www.ahrq.gov/patient-safety/settings/hospital/match/chapter-6.html" TargetMode="External"/><Relationship Id="rId11" Type="http://schemas.openxmlformats.org/officeDocument/2006/relationships/hyperlink" Target="https://www.ahrq.gov/patient-safety/settings/hospital/match/table-2.html" TargetMode="External"/><Relationship Id="rId24" Type="http://schemas.openxmlformats.org/officeDocument/2006/relationships/hyperlink" Target="https://www.ahrq.gov/patient-safety/settings/hospital/match/figure-1.html" TargetMode="External"/><Relationship Id="rId32" Type="http://schemas.openxmlformats.org/officeDocument/2006/relationships/hyperlink" Target="https://www.ahrq.gov/patient-safety/settings/hospital/match/appendix/index.html" TargetMode="External"/><Relationship Id="rId37" Type="http://schemas.openxmlformats.org/officeDocument/2006/relationships/hyperlink" Target="https://www.ahrq.gov/patient-safety/settings/hospital/match/figure-8.html" TargetMode="External"/><Relationship Id="rId40" Type="http://schemas.openxmlformats.org/officeDocument/2006/relationships/hyperlink" Target="https://www.ahrq.gov/patient-safety/settings/hospital/match/appendix/index.html" TargetMode="External"/><Relationship Id="rId45" Type="http://schemas.openxmlformats.org/officeDocument/2006/relationships/hyperlink" Target="https://www.ahrq.gov/patient-safety/settings/hospital/match/table-3.html" TargetMode="External"/><Relationship Id="rId53" Type="http://schemas.openxmlformats.org/officeDocument/2006/relationships/hyperlink" Target="https://www.ahrq.gov/patient-safety/settings/hospital/match/chapter-4.html" TargetMode="External"/><Relationship Id="rId5" Type="http://schemas.openxmlformats.org/officeDocument/2006/relationships/hyperlink" Target="https://www.ahrq.gov/patient-safety/settings/hospital/match/appendix/index.html" TargetMode="External"/><Relationship Id="rId19" Type="http://schemas.openxmlformats.org/officeDocument/2006/relationships/hyperlink" Target="http://healthit.hhs.gov/portal/server.pt?open=512&amp;objID=2996&amp;mode=2" TargetMode="External"/><Relationship Id="rId4" Type="http://schemas.openxmlformats.org/officeDocument/2006/relationships/webSettings" Target="webSettings.xml"/><Relationship Id="rId9" Type="http://schemas.openxmlformats.org/officeDocument/2006/relationships/hyperlink" Target="https://www.ahrq.gov/patient-safety/settings/hospital/match/appendix/index.html" TargetMode="External"/><Relationship Id="rId14" Type="http://schemas.openxmlformats.org/officeDocument/2006/relationships/hyperlink" Target="https://www.ahrq.gov/patient-safety/settings/hospital/match/chapter-1.html" TargetMode="External"/><Relationship Id="rId22" Type="http://schemas.openxmlformats.org/officeDocument/2006/relationships/hyperlink" Target="https://www.ahrq.gov/patient-safety/settings/hospital/match/chapter-2.html" TargetMode="External"/><Relationship Id="rId27" Type="http://schemas.openxmlformats.org/officeDocument/2006/relationships/hyperlink" Target="https://www.ahrq.gov/patient-safety/settings/hospital/match/appendix/index.html" TargetMode="External"/><Relationship Id="rId30" Type="http://schemas.openxmlformats.org/officeDocument/2006/relationships/hyperlink" Target="https://www.ahrq.gov/patient-safety/settings/hospital/match/figure-3.html" TargetMode="External"/><Relationship Id="rId35" Type="http://schemas.openxmlformats.org/officeDocument/2006/relationships/hyperlink" Target="https://www.ahrq.gov/patient-safety/settings/hospital/match/figure-6.html" TargetMode="External"/><Relationship Id="rId43" Type="http://schemas.openxmlformats.org/officeDocument/2006/relationships/hyperlink" Target="https://www.ahrq.gov/patient-safety/settings/hospital/match/chapter-5.html" TargetMode="External"/><Relationship Id="rId48" Type="http://schemas.openxmlformats.org/officeDocument/2006/relationships/hyperlink" Target="https://www.ahrq.gov/patient-safety/settings/hospital/match/figure-11.html"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www.ahrq.gov/patient-safety/settings/hospital/match/table-5.html" TargetMode="External"/><Relationship Id="rId3" Type="http://schemas.openxmlformats.org/officeDocument/2006/relationships/settings" Target="settings.xml"/><Relationship Id="rId12" Type="http://schemas.openxmlformats.org/officeDocument/2006/relationships/hyperlink" Target="https://www.ahrq.gov/patient-safety/settings/hospital/match/chapter-1.html" TargetMode="External"/><Relationship Id="rId17" Type="http://schemas.openxmlformats.org/officeDocument/2006/relationships/hyperlink" Target="http://www.hcahpsonline.org/home.aspx" TargetMode="External"/><Relationship Id="rId25" Type="http://schemas.openxmlformats.org/officeDocument/2006/relationships/hyperlink" Target="https://www.ahrq.gov/patient-safety/settings/hospital/match/figure-2.html" TargetMode="External"/><Relationship Id="rId33" Type="http://schemas.openxmlformats.org/officeDocument/2006/relationships/hyperlink" Target="https://www.ahrq.gov/patient-safety/settings/hospital/match/appendix/index.html" TargetMode="External"/><Relationship Id="rId38" Type="http://schemas.openxmlformats.org/officeDocument/2006/relationships/hyperlink" Target="https://www.ahrq.gov/patient-safety/settings/hospital/match/chapter-6.html" TargetMode="External"/><Relationship Id="rId46" Type="http://schemas.openxmlformats.org/officeDocument/2006/relationships/hyperlink" Target="https://www.ahrq.gov/patient-safety/settings/hospital/match/figure-10.html" TargetMode="External"/><Relationship Id="rId20" Type="http://schemas.openxmlformats.org/officeDocument/2006/relationships/hyperlink" Target="http://www.healthcare.gov/compare/partnership-for-patients/" TargetMode="External"/><Relationship Id="rId41" Type="http://schemas.openxmlformats.org/officeDocument/2006/relationships/hyperlink" Target="https://www.ahrq.gov/patient-safety/settings/hospital/match/appendix/index.html" TargetMode="External"/><Relationship Id="rId54" Type="http://schemas.openxmlformats.org/officeDocument/2006/relationships/hyperlink" Target="https://www.ahrq.gov/patient-safety/settings/hospital/match/table-6.html" TargetMode="External"/><Relationship Id="rId1" Type="http://schemas.openxmlformats.org/officeDocument/2006/relationships/numbering" Target="numbering.xml"/><Relationship Id="rId6" Type="http://schemas.openxmlformats.org/officeDocument/2006/relationships/hyperlink" Target="http://www.nmh.org/" TargetMode="External"/><Relationship Id="rId15" Type="http://schemas.openxmlformats.org/officeDocument/2006/relationships/hyperlink" Target="https://www.ahrq.gov/patient-safety/settings/hospital/match/chapter-1.html" TargetMode="External"/><Relationship Id="rId23" Type="http://schemas.openxmlformats.org/officeDocument/2006/relationships/hyperlink" Target="https://www.ahrq.gov/patient-safety/settings/hospital/match/appendix/index.html" TargetMode="External"/><Relationship Id="rId28" Type="http://schemas.openxmlformats.org/officeDocument/2006/relationships/hyperlink" Target="https://www.ahrq.gov/patient-safety/settings/hospital/match/appendix/index.html" TargetMode="External"/><Relationship Id="rId36" Type="http://schemas.openxmlformats.org/officeDocument/2006/relationships/hyperlink" Target="https://www.ahrq.gov/patient-safety/settings/hospital/match/figure-7.html" TargetMode="External"/><Relationship Id="rId49" Type="http://schemas.openxmlformats.org/officeDocument/2006/relationships/hyperlink" Target="https://www.ahrq.gov/patient-safety/settings/hospital/match/appendix/index.html" TargetMode="External"/><Relationship Id="rId57" Type="http://schemas.openxmlformats.org/officeDocument/2006/relationships/theme" Target="theme/theme1.xml"/><Relationship Id="rId10" Type="http://schemas.openxmlformats.org/officeDocument/2006/relationships/hyperlink" Target="https://www.ahrq.gov/patient-safety/settings/hospital/match/table-1.html" TargetMode="External"/><Relationship Id="rId31" Type="http://schemas.openxmlformats.org/officeDocument/2006/relationships/hyperlink" Target="https://www.ahrq.gov/patient-safety/settings/hospital/match/figure-4.html" TargetMode="External"/><Relationship Id="rId44" Type="http://schemas.openxmlformats.org/officeDocument/2006/relationships/hyperlink" Target="https://www.ahrq.gov/patient-safety/settings/hospital/match/chapter-5.html" TargetMode="External"/><Relationship Id="rId52" Type="http://schemas.openxmlformats.org/officeDocument/2006/relationships/hyperlink" Target="https://www.ahrq.gov/patient-safety/settings/hospital/match/appendix/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47</Pages>
  <Words>14008</Words>
  <Characters>79851</Characters>
  <Application>Microsoft Office Word</Application>
  <DocSecurity>0</DocSecurity>
  <Lines>665</Lines>
  <Paragraphs>187</Paragraphs>
  <ScaleCrop>false</ScaleCrop>
  <Company/>
  <LinksUpToDate>false</LinksUpToDate>
  <CharactersWithSpaces>93672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 Chandrashekaran</dc:creator>
  <cp:keywords/>
  <dc:description/>
  <cp:lastModifiedBy>Maya Chandrashekaran</cp:lastModifiedBy>
  <cp:revision>3</cp:revision>
  <dcterms:created xsi:type="dcterms:W3CDTF">2026-08-17T01:15:00Z</dcterms:created>
  <dcterms:modified xsi:type="dcterms:W3CDTF">2026-08-17T01:24:00Z</dcterms:modified>
</cp:coreProperties>
</file>