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7A7B2" w14:textId="77777777" w:rsidR="00AC1922" w:rsidRPr="00AC1922" w:rsidRDefault="00AC1922" w:rsidP="00AC1922">
      <w:pPr>
        <w:shd w:val="clear" w:color="auto" w:fill="FFFFFF"/>
        <w:spacing w:before="161" w:after="161" w:line="312" w:lineRule="atLeast"/>
        <w:outlineLvl w:val="0"/>
        <w:rPr>
          <w:rFonts w:ascii="Arial" w:eastAsia="Times New Roman" w:hAnsi="Arial" w:cs="Arial"/>
          <w:b/>
          <w:bCs/>
          <w:color w:val="1B1B1B"/>
          <w:kern w:val="36"/>
          <w:sz w:val="60"/>
          <w:szCs w:val="60"/>
          <w14:ligatures w14:val="none"/>
        </w:rPr>
      </w:pPr>
      <w:r w:rsidRPr="00AC1922">
        <w:rPr>
          <w:rFonts w:ascii="Arial" w:eastAsia="Times New Roman" w:hAnsi="Arial" w:cs="Arial"/>
          <w:b/>
          <w:bCs/>
          <w:color w:val="1B1B1B"/>
          <w:kern w:val="36"/>
          <w:sz w:val="60"/>
          <w:szCs w:val="60"/>
          <w14:ligatures w14:val="none"/>
        </w:rPr>
        <w:t>Re-Engineered Discharge (RED) Toolkit</w:t>
      </w:r>
    </w:p>
    <w:p w14:paraId="3459231E" w14:textId="77777777" w:rsidR="00AC1922" w:rsidRPr="00AC1922" w:rsidRDefault="00AC1922" w:rsidP="00AC1922">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AC1922">
        <w:rPr>
          <w:rFonts w:ascii="Arial" w:eastAsia="Times New Roman" w:hAnsi="Arial" w:cs="Arial"/>
          <w:b/>
          <w:bCs/>
          <w:color w:val="1B1B1B"/>
          <w:kern w:val="0"/>
          <w:sz w:val="45"/>
          <w:szCs w:val="45"/>
          <w14:ligatures w14:val="none"/>
        </w:rPr>
        <w:t>Tool 1: Overview</w:t>
      </w:r>
    </w:p>
    <w:p w14:paraId="23A46886" w14:textId="77777777" w:rsidR="00AC1922" w:rsidRPr="00AC1922" w:rsidRDefault="00AC1922" w:rsidP="00AC1922">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AC1922">
        <w:rPr>
          <w:rFonts w:ascii="Arial" w:eastAsia="Times New Roman" w:hAnsi="Arial" w:cs="Arial"/>
          <w:b/>
          <w:bCs/>
          <w:color w:val="1B1B1B"/>
          <w:kern w:val="0"/>
          <w:sz w:val="36"/>
          <w:szCs w:val="36"/>
          <w14:ligatures w14:val="none"/>
        </w:rPr>
        <w:t>Purpose of the Toolkit</w:t>
      </w:r>
    </w:p>
    <w:p w14:paraId="754AB445"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A variety of forces are pushing hospitals to improve their discharge processes to reduce readmissions.</w:t>
      </w:r>
      <w:hyperlink r:id="rId5" w:anchor="ref1" w:history="1">
        <w:r w:rsidRPr="00AC1922">
          <w:rPr>
            <w:rFonts w:ascii="Source Sans Pro" w:eastAsia="Times New Roman" w:hAnsi="Source Sans Pro" w:cs="Times New Roman"/>
            <w:color w:val="005B94"/>
            <w:kern w:val="0"/>
            <w:sz w:val="19"/>
            <w:szCs w:val="19"/>
            <w:u w:val="single"/>
            <w:vertAlign w:val="superscript"/>
            <w14:ligatures w14:val="none"/>
          </w:rPr>
          <w:t>1</w:t>
        </w:r>
      </w:hyperlink>
      <w:r w:rsidRPr="00AC1922">
        <w:rPr>
          <w:rFonts w:ascii="Source Sans Pro" w:eastAsia="Times New Roman" w:hAnsi="Source Sans Pro" w:cs="Times New Roman"/>
          <w:color w:val="1B1B1B"/>
          <w:kern w:val="0"/>
          <w:sz w:val="26"/>
          <w:szCs w:val="26"/>
          <w14:ligatures w14:val="none"/>
        </w:rPr>
        <w:t> Researchers at the Boston University Medical Center (BUMC) developed and tested a set of activities and materials for improving the discharge process, which they called the Re-Engineered Discharge (RED). Research showed that the RED was effective at reducing readmissions and posthospital emergency department (ED) visits.</w:t>
      </w:r>
      <w:hyperlink r:id="rId6" w:anchor="ref2" w:history="1">
        <w:r w:rsidRPr="00AC1922">
          <w:rPr>
            <w:rFonts w:ascii="Source Sans Pro" w:eastAsia="Times New Roman" w:hAnsi="Source Sans Pro" w:cs="Times New Roman"/>
            <w:color w:val="005B94"/>
            <w:kern w:val="0"/>
            <w:sz w:val="19"/>
            <w:szCs w:val="19"/>
            <w:u w:val="single"/>
            <w:vertAlign w:val="superscript"/>
            <w14:ligatures w14:val="none"/>
          </w:rPr>
          <w:t>2</w:t>
        </w:r>
      </w:hyperlink>
    </w:p>
    <w:p w14:paraId="4DF2A1DE"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The Agency for Healthcare Research and Quality (AHRQ) contracted with BUMC to develop this toolkit to assist hospitals, particularly those that serve diverse populations, to replicate the RED. This overview of the RED toolkit explains why hospitals would want to re-engineer their discharge processes, provides evidence of the RED's impact, and introduces each tool in the toolkit.</w:t>
      </w:r>
    </w:p>
    <w:p w14:paraId="7038A394"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The RED consists of a set of 12 mutually reinforcing actions, as outlined in the box below, that the hospital undertakes during and after the hospital stay to ensure a smooth and effective transition at discharge. The RED is the product of 7 years of work supported by funding from AHRQ and the National Heart, Lung, and Blood Institute (NHLBI). Preliminary work included intensive study of the discharge process, borrowing methodologies from engineering to define the RED, such as process mapping, failure mode effect analysis, probabilistic risk assessment, root cause analysis, and qualitative analysis.</w:t>
      </w:r>
      <w:hyperlink r:id="rId7" w:anchor="ref19" w:history="1">
        <w:r w:rsidRPr="00AC1922">
          <w:rPr>
            <w:rFonts w:ascii="Source Sans Pro" w:eastAsia="Times New Roman" w:hAnsi="Source Sans Pro" w:cs="Times New Roman"/>
            <w:color w:val="005B94"/>
            <w:kern w:val="0"/>
            <w:sz w:val="19"/>
            <w:szCs w:val="19"/>
            <w:u w:val="single"/>
            <w:vertAlign w:val="superscript"/>
            <w14:ligatures w14:val="none"/>
          </w:rPr>
          <w:t>19-21</w:t>
        </w:r>
      </w:hyperlink>
      <w:r w:rsidRPr="00AC1922">
        <w:rPr>
          <w:rFonts w:ascii="Source Sans Pro" w:eastAsia="Times New Roman" w:hAnsi="Source Sans Pro" w:cs="Times New Roman"/>
          <w:color w:val="1B1B1B"/>
          <w:kern w:val="0"/>
          <w:sz w:val="26"/>
          <w:szCs w:val="26"/>
          <w14:ligatures w14:val="none"/>
        </w:rPr>
        <w:t> This toolkit is an enhancement of previous RED resources and introduces a new RED component on overcoming language barriers.</w:t>
      </w:r>
    </w:p>
    <w:tbl>
      <w:tblPr>
        <w:tblW w:w="4000" w:type="pct"/>
        <w:tblCellMar>
          <w:top w:w="160" w:type="dxa"/>
          <w:left w:w="160" w:type="dxa"/>
          <w:bottom w:w="160" w:type="dxa"/>
          <w:right w:w="160" w:type="dxa"/>
        </w:tblCellMar>
        <w:tblLook w:val="04A0" w:firstRow="1" w:lastRow="0" w:firstColumn="1" w:lastColumn="0" w:noHBand="0" w:noVBand="1"/>
        <w:tblDescription w:val="layout"/>
      </w:tblPr>
      <w:tblGrid>
        <w:gridCol w:w="7475"/>
      </w:tblGrid>
      <w:tr w:rsidR="00AC1922" w:rsidRPr="00AC1922" w14:paraId="59F4EAE0"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7E84E1D" w14:textId="77777777" w:rsidR="00AC1922" w:rsidRPr="00AC1922" w:rsidRDefault="00AC1922" w:rsidP="00AC1922">
            <w:pPr>
              <w:spacing w:after="100" w:afterAutospacing="1" w:line="240" w:lineRule="auto"/>
              <w:jc w:val="center"/>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Components of the RED</w:t>
            </w:r>
          </w:p>
          <w:p w14:paraId="36099736"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Ascertain need for and obtain language assistance.</w:t>
            </w:r>
          </w:p>
          <w:p w14:paraId="28FAC2F1"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Make appointments for followup care (e.g., medical appointments, postdischarge tests/labs).</w:t>
            </w:r>
          </w:p>
          <w:p w14:paraId="3715669A"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lastRenderedPageBreak/>
              <w:t>Plan for the followup of results from tests or labs that are pending at discharge.</w:t>
            </w:r>
          </w:p>
          <w:p w14:paraId="4B0DED9F"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Organize postdischarge outpatient services and medical equipment.</w:t>
            </w:r>
          </w:p>
          <w:p w14:paraId="7061D822"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Identify the correct medicines and a plan for the patient to obtain them.</w:t>
            </w:r>
          </w:p>
          <w:p w14:paraId="74AD755A"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Reconcile the discharge plan with national guidelines.</w:t>
            </w:r>
          </w:p>
          <w:p w14:paraId="3D7BF834"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Teach a written discharge plan the patient can understand.</w:t>
            </w:r>
          </w:p>
          <w:p w14:paraId="57EDBC21"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Educate the patient about his or her diagnosis and medicines.</w:t>
            </w:r>
          </w:p>
          <w:p w14:paraId="565724A4"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Review with the patient what to do if a problem arises.</w:t>
            </w:r>
          </w:p>
          <w:p w14:paraId="68257B92"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Assess the degree of the patient's understanding of the discharge plan.</w:t>
            </w:r>
          </w:p>
          <w:p w14:paraId="010281A2"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Expedite transmission of the discharge summary to clinicians accepting care of the patient.</w:t>
            </w:r>
          </w:p>
          <w:p w14:paraId="5833E56A" w14:textId="77777777" w:rsidR="00AC1922" w:rsidRPr="00AC1922" w:rsidRDefault="00AC1922" w:rsidP="00AC192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Provide telephone reinforcement of the discharge plan.</w:t>
            </w:r>
          </w:p>
        </w:tc>
      </w:tr>
    </w:tbl>
    <w:p w14:paraId="23E370BD" w14:textId="77777777" w:rsidR="00AC1922" w:rsidRPr="00AC1922" w:rsidRDefault="00AC1922" w:rsidP="00AC1922">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bookmarkStart w:id="0" w:name="Reasons"/>
      <w:bookmarkEnd w:id="0"/>
      <w:r w:rsidRPr="00AC1922">
        <w:rPr>
          <w:rFonts w:ascii="Arial" w:eastAsia="Times New Roman" w:hAnsi="Arial" w:cs="Arial"/>
          <w:b/>
          <w:bCs/>
          <w:color w:val="1B1B1B"/>
          <w:kern w:val="0"/>
          <w:sz w:val="36"/>
          <w:szCs w:val="36"/>
          <w14:ligatures w14:val="none"/>
        </w:rPr>
        <w:lastRenderedPageBreak/>
        <w:t>Reasons To Re-Engineer Your Discharge Process</w:t>
      </w:r>
    </w:p>
    <w:p w14:paraId="6768C292"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The hospital discharge is a complex process requiring integrated communications among the inpatient care team, primary care team, community services, the patient, and the patient's caregivers. There are many opportunities for improved discharge processes at U.S. hospitals that, if accomplished, could lead to reduced rehospitalization of patients,</w:t>
      </w:r>
      <w:hyperlink r:id="rId8" w:anchor="ref3" w:history="1">
        <w:r w:rsidRPr="00AC1922">
          <w:rPr>
            <w:rFonts w:ascii="Source Sans Pro" w:eastAsia="Times New Roman" w:hAnsi="Source Sans Pro" w:cs="Times New Roman"/>
            <w:color w:val="005B94"/>
            <w:kern w:val="0"/>
            <w:sz w:val="19"/>
            <w:szCs w:val="19"/>
            <w:u w:val="single"/>
            <w:vertAlign w:val="superscript"/>
            <w14:ligatures w14:val="none"/>
          </w:rPr>
          <w:t>3-7</w:t>
        </w:r>
      </w:hyperlink>
      <w:r w:rsidRPr="00AC1922">
        <w:rPr>
          <w:rFonts w:ascii="Source Sans Pro" w:eastAsia="Times New Roman" w:hAnsi="Source Sans Pro" w:cs="Times New Roman"/>
          <w:color w:val="1B1B1B"/>
          <w:kern w:val="0"/>
          <w:sz w:val="26"/>
          <w:szCs w:val="26"/>
          <w14:ligatures w14:val="none"/>
        </w:rPr>
        <w:t> which is currently at a rate of almost 1 in 5 for patients covered by Medicare.</w:t>
      </w:r>
      <w:hyperlink r:id="rId9" w:anchor="ref8" w:history="1">
        <w:r w:rsidRPr="00AC1922">
          <w:rPr>
            <w:rFonts w:ascii="Source Sans Pro" w:eastAsia="Times New Roman" w:hAnsi="Source Sans Pro" w:cs="Times New Roman"/>
            <w:color w:val="005B94"/>
            <w:kern w:val="0"/>
            <w:sz w:val="19"/>
            <w:szCs w:val="19"/>
            <w:u w:val="single"/>
            <w:vertAlign w:val="superscript"/>
            <w14:ligatures w14:val="none"/>
          </w:rPr>
          <w:t>8</w:t>
        </w:r>
      </w:hyperlink>
      <w:r w:rsidRPr="00AC1922">
        <w:rPr>
          <w:rFonts w:ascii="Source Sans Pro" w:eastAsia="Times New Roman" w:hAnsi="Source Sans Pro" w:cs="Times New Roman"/>
          <w:color w:val="1B1B1B"/>
          <w:kern w:val="0"/>
          <w:sz w:val="26"/>
          <w:szCs w:val="26"/>
          <w14:ligatures w14:val="none"/>
        </w:rPr>
        <w:t> Contributing factors include:</w:t>
      </w:r>
    </w:p>
    <w:p w14:paraId="38FD58EB" w14:textId="77777777" w:rsidR="00AC1922" w:rsidRPr="00AC1922" w:rsidRDefault="00AC1922" w:rsidP="00AC1922">
      <w:pPr>
        <w:numPr>
          <w:ilvl w:val="0"/>
          <w:numId w:val="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Delayed Transfer of Discharge Summary:</w:t>
      </w:r>
      <w:r w:rsidRPr="00AC1922">
        <w:rPr>
          <w:rFonts w:ascii="Source Sans Pro" w:eastAsia="Times New Roman" w:hAnsi="Source Sans Pro" w:cs="Times New Roman"/>
          <w:color w:val="1B1B1B"/>
          <w:kern w:val="0"/>
          <w:sz w:val="26"/>
          <w:szCs w:val="26"/>
          <w14:ligatures w14:val="none"/>
        </w:rPr>
        <w:t> There is frequently a delay between the time a patient is released from the hospital and when the primary care doctor receives the discharge summary.</w:t>
      </w:r>
      <w:hyperlink r:id="rId10" w:anchor="ref9" w:history="1">
        <w:r w:rsidRPr="00AC1922">
          <w:rPr>
            <w:rFonts w:ascii="Source Sans Pro" w:eastAsia="Times New Roman" w:hAnsi="Source Sans Pro" w:cs="Times New Roman"/>
            <w:color w:val="005B94"/>
            <w:kern w:val="0"/>
            <w:sz w:val="19"/>
            <w:szCs w:val="19"/>
            <w:u w:val="single"/>
            <w:vertAlign w:val="superscript"/>
            <w14:ligatures w14:val="none"/>
          </w:rPr>
          <w:t>9</w:t>
        </w:r>
      </w:hyperlink>
      <w:r w:rsidRPr="00AC1922">
        <w:rPr>
          <w:rFonts w:ascii="Source Sans Pro" w:eastAsia="Times New Roman" w:hAnsi="Source Sans Pro" w:cs="Times New Roman"/>
          <w:color w:val="1B1B1B"/>
          <w:kern w:val="0"/>
          <w:sz w:val="26"/>
          <w:szCs w:val="26"/>
          <w14:ligatures w14:val="none"/>
        </w:rPr>
        <w:t> This delay means the doctor is not immediately aware of which tests and procedures were done during the patient's hospital stay or what conditions still need attention.</w:t>
      </w:r>
    </w:p>
    <w:p w14:paraId="6A490F34" w14:textId="77777777" w:rsidR="00AC1922" w:rsidRPr="00AC1922" w:rsidRDefault="00AC1922" w:rsidP="00AC1922">
      <w:pPr>
        <w:numPr>
          <w:ilvl w:val="0"/>
          <w:numId w:val="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Unknown Test Results:</w:t>
      </w:r>
      <w:r w:rsidRPr="00AC1922">
        <w:rPr>
          <w:rFonts w:ascii="Source Sans Pro" w:eastAsia="Times New Roman" w:hAnsi="Source Sans Pro" w:cs="Times New Roman"/>
          <w:color w:val="1B1B1B"/>
          <w:kern w:val="0"/>
          <w:sz w:val="26"/>
          <w:szCs w:val="26"/>
          <w14:ligatures w14:val="none"/>
        </w:rPr>
        <w:t> Test results are not always complete by the time the patient leaves the hospital. This means the test results will not be included in the report the patient's primary care doctor receives.</w:t>
      </w:r>
    </w:p>
    <w:p w14:paraId="0FD923F2" w14:textId="77777777" w:rsidR="00AC1922" w:rsidRPr="00AC1922" w:rsidRDefault="00AC1922" w:rsidP="00AC1922">
      <w:pPr>
        <w:numPr>
          <w:ilvl w:val="0"/>
          <w:numId w:val="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Lack of Followup:</w:t>
      </w:r>
      <w:r w:rsidRPr="00AC1922">
        <w:rPr>
          <w:rFonts w:ascii="Source Sans Pro" w:eastAsia="Times New Roman" w:hAnsi="Source Sans Pro" w:cs="Times New Roman"/>
          <w:color w:val="1B1B1B"/>
          <w:kern w:val="0"/>
          <w:sz w:val="26"/>
          <w:szCs w:val="26"/>
          <w14:ligatures w14:val="none"/>
        </w:rPr>
        <w:t> Patients themselves often do not fully understand the nature of their health problems or realize they need to make appointments for tests or procedures after leaving the hospital. They may be unable to make appointments due to lack of access to transportation or availability of appropriate doctors/specialists. Research has found that more than one-third of the patients who left the hospital in need of more care (e.g., lab tests or a referral to a specialist) failed to get that care.</w:t>
      </w:r>
      <w:hyperlink r:id="rId11" w:anchor="ref10" w:history="1">
        <w:r w:rsidRPr="00AC1922">
          <w:rPr>
            <w:rFonts w:ascii="Source Sans Pro" w:eastAsia="Times New Roman" w:hAnsi="Source Sans Pro" w:cs="Times New Roman"/>
            <w:color w:val="005B94"/>
            <w:kern w:val="0"/>
            <w:sz w:val="19"/>
            <w:szCs w:val="19"/>
            <w:u w:val="single"/>
            <w:vertAlign w:val="superscript"/>
            <w14:ligatures w14:val="none"/>
          </w:rPr>
          <w:t>10,11</w:t>
        </w:r>
      </w:hyperlink>
    </w:p>
    <w:p w14:paraId="1844BD87" w14:textId="77777777" w:rsidR="00AC1922" w:rsidRPr="00AC1922" w:rsidRDefault="00AC1922" w:rsidP="00AC1922">
      <w:pPr>
        <w:numPr>
          <w:ilvl w:val="0"/>
          <w:numId w:val="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lastRenderedPageBreak/>
        <w:t>Medicine Reconciliation and Adverse Events:</w:t>
      </w:r>
      <w:r w:rsidRPr="00AC1922">
        <w:rPr>
          <w:rFonts w:ascii="Source Sans Pro" w:eastAsia="Times New Roman" w:hAnsi="Source Sans Pro" w:cs="Times New Roman"/>
          <w:color w:val="1B1B1B"/>
          <w:kern w:val="0"/>
          <w:sz w:val="26"/>
          <w:szCs w:val="26"/>
          <w14:ligatures w14:val="none"/>
        </w:rPr>
        <w:t> Confusion about which medicines to take can also lead to problems after a patient leaves the hospital. When patients are admitted to the hospital, many stop taking their regular medicines and start taking new ones. Once they leave the hospital, there is often confusion regarding which of the prehospitalization medicines should be continued. This may result in the patient failing to take needed medicine, taking duplicate medicine, or experiencing adverse drug events or natural remedy interactions.</w:t>
      </w:r>
    </w:p>
    <w:p w14:paraId="2027A9E1"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The result of hospitals' failure to ensure an effective transition has included adverse events, high readmission rates, and high ED visit rates.</w:t>
      </w:r>
      <w:hyperlink r:id="rId12" w:anchor="ref8" w:history="1">
        <w:r w:rsidRPr="00AC1922">
          <w:rPr>
            <w:rFonts w:ascii="Source Sans Pro" w:eastAsia="Times New Roman" w:hAnsi="Source Sans Pro" w:cs="Times New Roman"/>
            <w:color w:val="005B94"/>
            <w:kern w:val="0"/>
            <w:sz w:val="19"/>
            <w:szCs w:val="19"/>
            <w:u w:val="single"/>
            <w:vertAlign w:val="superscript"/>
            <w14:ligatures w14:val="none"/>
          </w:rPr>
          <w:t>8</w:t>
        </w:r>
      </w:hyperlink>
      <w:r w:rsidRPr="00AC1922">
        <w:rPr>
          <w:rFonts w:ascii="Source Sans Pro" w:eastAsia="Times New Roman" w:hAnsi="Source Sans Pro" w:cs="Times New Roman"/>
          <w:color w:val="1B1B1B"/>
          <w:kern w:val="0"/>
          <w:sz w:val="19"/>
          <w:szCs w:val="19"/>
          <w:vertAlign w:val="superscript"/>
          <w14:ligatures w14:val="none"/>
        </w:rPr>
        <w:t>,</w:t>
      </w:r>
      <w:hyperlink r:id="rId13" w:anchor="ref12" w:history="1">
        <w:r w:rsidRPr="00AC1922">
          <w:rPr>
            <w:rFonts w:ascii="Source Sans Pro" w:eastAsia="Times New Roman" w:hAnsi="Source Sans Pro" w:cs="Times New Roman"/>
            <w:color w:val="005B94"/>
            <w:kern w:val="0"/>
            <w:sz w:val="19"/>
            <w:szCs w:val="19"/>
            <w:u w:val="single"/>
            <w:vertAlign w:val="superscript"/>
            <w14:ligatures w14:val="none"/>
          </w:rPr>
          <w:t>12</w:t>
        </w:r>
      </w:hyperlink>
      <w:r w:rsidRPr="00AC1922">
        <w:rPr>
          <w:rFonts w:ascii="Source Sans Pro" w:eastAsia="Times New Roman" w:hAnsi="Source Sans Pro" w:cs="Times New Roman"/>
          <w:color w:val="1B1B1B"/>
          <w:kern w:val="0"/>
          <w:sz w:val="19"/>
          <w:szCs w:val="19"/>
          <w:vertAlign w:val="superscript"/>
          <w14:ligatures w14:val="none"/>
        </w:rPr>
        <w:t>,</w:t>
      </w:r>
      <w:hyperlink r:id="rId14" w:anchor="ref13" w:history="1">
        <w:r w:rsidRPr="00AC1922">
          <w:rPr>
            <w:rFonts w:ascii="Source Sans Pro" w:eastAsia="Times New Roman" w:hAnsi="Source Sans Pro" w:cs="Times New Roman"/>
            <w:color w:val="005B94"/>
            <w:kern w:val="0"/>
            <w:sz w:val="19"/>
            <w:szCs w:val="19"/>
            <w:u w:val="single"/>
            <w:vertAlign w:val="superscript"/>
            <w14:ligatures w14:val="none"/>
          </w:rPr>
          <w:t>13</w:t>
        </w:r>
      </w:hyperlink>
      <w:r w:rsidRPr="00AC1922">
        <w:rPr>
          <w:rFonts w:ascii="Source Sans Pro" w:eastAsia="Times New Roman" w:hAnsi="Source Sans Pro" w:cs="Times New Roman"/>
          <w:color w:val="1B1B1B"/>
          <w:kern w:val="0"/>
          <w:sz w:val="26"/>
          <w:szCs w:val="26"/>
          <w14:ligatures w14:val="none"/>
        </w:rPr>
        <w:t> Forces are, however, converging to push hospitals toward improving their discharge processes and reducing readmission rates.</w:t>
      </w:r>
    </w:p>
    <w:p w14:paraId="2CACDB4E"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One force is that national quality organizations have begun to set standards to address some of the deficiencies of discharge planning. For example, National Quality Forum (NQF) Safe Practice-15 lays out key processes of an effective discharge plan, including communicating discharge information to community providers.</w:t>
      </w:r>
      <w:hyperlink r:id="rId15" w:anchor="ref14" w:history="1">
        <w:r w:rsidRPr="00AC1922">
          <w:rPr>
            <w:rFonts w:ascii="Source Sans Pro" w:eastAsia="Times New Roman" w:hAnsi="Source Sans Pro" w:cs="Times New Roman"/>
            <w:color w:val="005B94"/>
            <w:kern w:val="0"/>
            <w:sz w:val="19"/>
            <w:szCs w:val="19"/>
            <w:u w:val="single"/>
            <w:vertAlign w:val="superscript"/>
            <w14:ligatures w14:val="none"/>
          </w:rPr>
          <w:t>14</w:t>
        </w:r>
      </w:hyperlink>
      <w:r w:rsidRPr="00AC1922">
        <w:rPr>
          <w:rFonts w:ascii="Source Sans Pro" w:eastAsia="Times New Roman" w:hAnsi="Source Sans Pro" w:cs="Times New Roman"/>
          <w:color w:val="1B1B1B"/>
          <w:kern w:val="0"/>
          <w:sz w:val="26"/>
          <w:szCs w:val="26"/>
          <w14:ligatures w14:val="none"/>
        </w:rPr>
        <w:t> NQF has recently endorsed three readmission performance measures: hospital-specific, risk-standardized, and all-cause 30-day readmission rates. The Centers for Medicare &amp; Medicaid Services (CMS) has begun public reporting of these measures.</w:t>
      </w:r>
    </w:p>
    <w:p w14:paraId="7E660C82"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A second force comes from quality improvement organizations that have set out to help hospitals improve their discharge processes. For example, in the Quality Improvement Organizations' 9th Scope of Work, CMS included a theme titled Patient Pathways (Care Transitions). The goal of this theme was to measurably improve the quality of care for Medicare beneficiaries who transition among care settings, with the goal of reducing readmissions and developing replicable strategies to sustain reduced readmission rates.</w:t>
      </w:r>
      <w:hyperlink r:id="rId16" w:anchor="ref15" w:history="1">
        <w:r w:rsidRPr="00AC1922">
          <w:rPr>
            <w:rFonts w:ascii="Source Sans Pro" w:eastAsia="Times New Roman" w:hAnsi="Source Sans Pro" w:cs="Times New Roman"/>
            <w:color w:val="005B94"/>
            <w:kern w:val="0"/>
            <w:sz w:val="19"/>
            <w:szCs w:val="19"/>
            <w:u w:val="single"/>
            <w:vertAlign w:val="superscript"/>
            <w14:ligatures w14:val="none"/>
          </w:rPr>
          <w:t>15</w:t>
        </w:r>
      </w:hyperlink>
    </w:p>
    <w:p w14:paraId="2BFADAE1"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A third force is the prospect that payment for readmissions will be changed. In its 2007 report to Congress, the Medicare Payment Advisory Commission (MedPac) identified a potential savings of $12 billion per year by reducing preventable readmissions.</w:t>
      </w:r>
      <w:hyperlink r:id="rId17" w:anchor="ref16" w:history="1">
        <w:r w:rsidRPr="00AC1922">
          <w:rPr>
            <w:rFonts w:ascii="Source Sans Pro" w:eastAsia="Times New Roman" w:hAnsi="Source Sans Pro" w:cs="Times New Roman"/>
            <w:color w:val="005B94"/>
            <w:kern w:val="0"/>
            <w:sz w:val="19"/>
            <w:szCs w:val="19"/>
            <w:u w:val="single"/>
            <w:vertAlign w:val="superscript"/>
            <w14:ligatures w14:val="none"/>
          </w:rPr>
          <w:t>16</w:t>
        </w:r>
      </w:hyperlink>
      <w:r w:rsidRPr="00AC1922">
        <w:rPr>
          <w:rFonts w:ascii="Source Sans Pro" w:eastAsia="Times New Roman" w:hAnsi="Source Sans Pro" w:cs="Times New Roman"/>
          <w:color w:val="1B1B1B"/>
          <w:kern w:val="0"/>
          <w:sz w:val="26"/>
          <w:szCs w:val="26"/>
          <w14:ligatures w14:val="none"/>
        </w:rPr>
        <w:t xml:space="preserve"> In its June 2008 report, MedPAC recommended that Medicare adopt a bundled payment approach. This means paying a single provider entity (comprising a hospital and its affiliated physicians) a fixed amount to cover the costs of providing the full range of </w:t>
      </w:r>
      <w:r w:rsidRPr="00AC1922">
        <w:rPr>
          <w:rFonts w:ascii="Source Sans Pro" w:eastAsia="Times New Roman" w:hAnsi="Source Sans Pro" w:cs="Times New Roman"/>
          <w:color w:val="1B1B1B"/>
          <w:kern w:val="0"/>
          <w:sz w:val="26"/>
          <w:szCs w:val="26"/>
          <w14:ligatures w14:val="none"/>
        </w:rPr>
        <w:lastRenderedPageBreak/>
        <w:t>Medicare covered services delivered during an episode of care (e.g., the hospital stay plus 30 days after discharge).</w:t>
      </w:r>
      <w:hyperlink r:id="rId18" w:anchor="ref17" w:history="1">
        <w:r w:rsidRPr="00AC1922">
          <w:rPr>
            <w:rFonts w:ascii="Source Sans Pro" w:eastAsia="Times New Roman" w:hAnsi="Source Sans Pro" w:cs="Times New Roman"/>
            <w:color w:val="005B94"/>
            <w:kern w:val="0"/>
            <w:sz w:val="19"/>
            <w:szCs w:val="19"/>
            <w:u w:val="single"/>
            <w:vertAlign w:val="superscript"/>
            <w14:ligatures w14:val="none"/>
          </w:rPr>
          <w:t>17</w:t>
        </w:r>
      </w:hyperlink>
    </w:p>
    <w:p w14:paraId="51ABA2C2"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In April 2008 CMS sought public comment on two proposals to revise hospital payments to provide hospitals with financial incentives to reduce avoidable readmissions. The first is to reduce payments for preventable readmissions. The second is to incorporate readmission rates into the calculation of performance-based payments in the value-based performance plan. The Hospital Readmissions Reduction Program included in the Patient Protection and Affordable Care Act of 2010 states that as of October 1, 2012, Medicare will reduce payments to hospitals with "excess readmission rates" for heart attacks, heart failure, and pneumonia.</w:t>
      </w:r>
      <w:hyperlink r:id="rId19" w:anchor="ref18" w:history="1">
        <w:r w:rsidRPr="00AC1922">
          <w:rPr>
            <w:rFonts w:ascii="Source Sans Pro" w:eastAsia="Times New Roman" w:hAnsi="Source Sans Pro" w:cs="Times New Roman"/>
            <w:color w:val="005B94"/>
            <w:kern w:val="0"/>
            <w:sz w:val="19"/>
            <w:szCs w:val="19"/>
            <w:u w:val="single"/>
            <w:vertAlign w:val="superscript"/>
            <w14:ligatures w14:val="none"/>
          </w:rPr>
          <w:t>18</w:t>
        </w:r>
      </w:hyperlink>
    </w:p>
    <w:p w14:paraId="408FCF15" w14:textId="77777777" w:rsidR="00AC1922" w:rsidRPr="00AC1922" w:rsidRDefault="00AC1922" w:rsidP="00AC1922">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bookmarkStart w:id="1" w:name="Impact"/>
      <w:bookmarkEnd w:id="1"/>
      <w:r w:rsidRPr="00AC1922">
        <w:rPr>
          <w:rFonts w:ascii="Arial" w:eastAsia="Times New Roman" w:hAnsi="Arial" w:cs="Arial"/>
          <w:b/>
          <w:bCs/>
          <w:color w:val="1B1B1B"/>
          <w:kern w:val="0"/>
          <w:sz w:val="36"/>
          <w:szCs w:val="36"/>
          <w14:ligatures w14:val="none"/>
        </w:rPr>
        <w:t>Impact of RED</w:t>
      </w:r>
    </w:p>
    <w:p w14:paraId="680833F7"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While hospitals are likely to be motivated to improve their discharge process, with a specific goal of reducing readmissions, they may require support and guidelines to optimize success. A Cochrane review of discharge planning interventions indicated that a number of interventions did not have a measurable impact on readmission rates.</w:t>
      </w:r>
      <w:hyperlink r:id="rId20" w:anchor="ref22" w:history="1">
        <w:r w:rsidRPr="00AC1922">
          <w:rPr>
            <w:rFonts w:ascii="Source Sans Pro" w:eastAsia="Times New Roman" w:hAnsi="Source Sans Pro" w:cs="Times New Roman"/>
            <w:color w:val="005B94"/>
            <w:kern w:val="0"/>
            <w:sz w:val="19"/>
            <w:szCs w:val="19"/>
            <w:u w:val="single"/>
            <w:vertAlign w:val="superscript"/>
            <w14:ligatures w14:val="none"/>
          </w:rPr>
          <w:t>22</w:t>
        </w:r>
      </w:hyperlink>
      <w:r w:rsidRPr="00AC1922">
        <w:rPr>
          <w:rFonts w:ascii="Source Sans Pro" w:eastAsia="Times New Roman" w:hAnsi="Source Sans Pro" w:cs="Times New Roman"/>
          <w:color w:val="1B1B1B"/>
          <w:kern w:val="0"/>
          <w:sz w:val="26"/>
          <w:szCs w:val="26"/>
          <w14:ligatures w14:val="none"/>
        </w:rPr>
        <w:t> The RED, however, has shown significant effects in a randomized controlled trial.</w:t>
      </w:r>
      <w:hyperlink r:id="rId21" w:anchor="ref2" w:history="1">
        <w:r w:rsidRPr="00AC1922">
          <w:rPr>
            <w:rFonts w:ascii="Source Sans Pro" w:eastAsia="Times New Roman" w:hAnsi="Source Sans Pro" w:cs="Times New Roman"/>
            <w:color w:val="005B94"/>
            <w:kern w:val="0"/>
            <w:sz w:val="19"/>
            <w:szCs w:val="19"/>
            <w:u w:val="single"/>
            <w:vertAlign w:val="superscript"/>
            <w14:ligatures w14:val="none"/>
          </w:rPr>
          <w:t>2</w:t>
        </w:r>
      </w:hyperlink>
    </w:p>
    <w:p w14:paraId="1DBE74AE"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Patients who received the RED experienced a 30 percent lower rate of hospital utilization within 30 days of discharge compared to patients receiving usual care. One readmission or ED visit was prevented for every seven patients receiving the RED. Further, the RED patients cost an average of $412 less in the 30 days following hospital discharge than patients who did not receive the RED. This represents a 33.9 percent lower observed cost for this group. These results have important implications for quality of care and costs for the more than 38 million hospital discharges each year in the United States. Additional reasons to implement RED can be found in the box below.</w:t>
      </w:r>
    </w:p>
    <w:tbl>
      <w:tblPr>
        <w:tblW w:w="4000" w:type="pct"/>
        <w:tblCellMar>
          <w:top w:w="160" w:type="dxa"/>
          <w:left w:w="160" w:type="dxa"/>
          <w:bottom w:w="160" w:type="dxa"/>
          <w:right w:w="160" w:type="dxa"/>
        </w:tblCellMar>
        <w:tblLook w:val="04A0" w:firstRow="1" w:lastRow="0" w:firstColumn="1" w:lastColumn="0" w:noHBand="0" w:noVBand="1"/>
        <w:tblDescription w:val="layout"/>
      </w:tblPr>
      <w:tblGrid>
        <w:gridCol w:w="7475"/>
      </w:tblGrid>
      <w:tr w:rsidR="00AC1922" w:rsidRPr="00AC1922" w14:paraId="7438D3AA"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E8F0AE8" w14:textId="77777777" w:rsidR="00AC1922" w:rsidRPr="00AC1922" w:rsidRDefault="00AC1922" w:rsidP="00AC1922">
            <w:pPr>
              <w:spacing w:after="100" w:afterAutospacing="1" w:line="240" w:lineRule="auto"/>
              <w:jc w:val="center"/>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Why Should Hospitals Use the RED?</w:t>
            </w:r>
          </w:p>
          <w:p w14:paraId="40A23C00" w14:textId="77777777" w:rsidR="00AC1922" w:rsidRPr="00AC1922" w:rsidRDefault="00AC1922" w:rsidP="00AC1922">
            <w:pPr>
              <w:spacing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Improves Clinical Outcomes</w:t>
            </w:r>
          </w:p>
          <w:p w14:paraId="2AE49E0C" w14:textId="77777777" w:rsidR="00AC1922" w:rsidRPr="00AC1922" w:rsidRDefault="00AC1922" w:rsidP="00AC1922">
            <w:pPr>
              <w:numPr>
                <w:ilvl w:val="0"/>
                <w:numId w:val="3"/>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Decreases 30-day readmission by 25 percent.</w:t>
            </w:r>
          </w:p>
          <w:p w14:paraId="1F90083B" w14:textId="77777777" w:rsidR="00AC1922" w:rsidRPr="00AC1922" w:rsidRDefault="00AC1922" w:rsidP="00AC1922">
            <w:pPr>
              <w:numPr>
                <w:ilvl w:val="0"/>
                <w:numId w:val="3"/>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lastRenderedPageBreak/>
              <w:t>Decreases ED use from 24 percent to 16 percent.</w:t>
            </w:r>
          </w:p>
          <w:p w14:paraId="7398790D" w14:textId="77777777" w:rsidR="00AC1922" w:rsidRPr="00AC1922" w:rsidRDefault="00AC1922" w:rsidP="00AC1922">
            <w:pPr>
              <w:numPr>
                <w:ilvl w:val="0"/>
                <w:numId w:val="3"/>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Improves patient "readiness for discharge."</w:t>
            </w:r>
          </w:p>
          <w:p w14:paraId="3B68DBB6" w14:textId="77777777" w:rsidR="00AC1922" w:rsidRPr="00AC1922" w:rsidRDefault="00AC1922" w:rsidP="00AC1922">
            <w:pPr>
              <w:numPr>
                <w:ilvl w:val="0"/>
                <w:numId w:val="3"/>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Improves primary care provider followup.</w:t>
            </w:r>
          </w:p>
          <w:p w14:paraId="40C1B5DA" w14:textId="77777777" w:rsidR="00AC1922" w:rsidRPr="00AC1922" w:rsidRDefault="00AC1922" w:rsidP="00AC1922">
            <w:pPr>
              <w:spacing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Meets Safety Standards and Improves Documentation</w:t>
            </w:r>
          </w:p>
          <w:p w14:paraId="626A32C7" w14:textId="77777777" w:rsidR="00AC1922" w:rsidRPr="00AC1922" w:rsidRDefault="00AC1922" w:rsidP="00AC1922">
            <w:pPr>
              <w:numPr>
                <w:ilvl w:val="0"/>
                <w:numId w:val="4"/>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Accepted as NQF Safe Practice and endorsed by Institute for Healthcare Improvement, The Leapfrog Group for Patient Safety, and CMS</w:t>
            </w:r>
          </w:p>
          <w:p w14:paraId="1F2ADA2E" w14:textId="77777777" w:rsidR="00AC1922" w:rsidRPr="00AC1922" w:rsidRDefault="00AC1922" w:rsidP="00AC1922">
            <w:pPr>
              <w:numPr>
                <w:ilvl w:val="0"/>
                <w:numId w:val="4"/>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Meets Joint Commission standards.</w:t>
            </w:r>
          </w:p>
          <w:p w14:paraId="4A00E10A" w14:textId="77777777" w:rsidR="00AC1922" w:rsidRPr="00AC1922" w:rsidRDefault="00AC1922" w:rsidP="00AC1922">
            <w:pPr>
              <w:numPr>
                <w:ilvl w:val="0"/>
                <w:numId w:val="4"/>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Documents the discharge preparation.</w:t>
            </w:r>
          </w:p>
          <w:p w14:paraId="1EC61DAB" w14:textId="77777777" w:rsidR="00AC1922" w:rsidRPr="00AC1922" w:rsidRDefault="00AC1922" w:rsidP="00AC1922">
            <w:pPr>
              <w:numPr>
                <w:ilvl w:val="0"/>
                <w:numId w:val="4"/>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Documents understanding of the discharge plan.</w:t>
            </w:r>
          </w:p>
          <w:p w14:paraId="316CE537" w14:textId="77777777" w:rsidR="00AC1922" w:rsidRPr="00AC1922" w:rsidRDefault="00AC1922" w:rsidP="00AC1922">
            <w:pPr>
              <w:spacing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Improves Return on Investment</w:t>
            </w:r>
          </w:p>
          <w:p w14:paraId="39A23C62"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Reduces costs by $412 per patient.</w:t>
            </w:r>
          </w:p>
          <w:p w14:paraId="1FF3476E"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Allows higher level physician billing for discharge.</w:t>
            </w:r>
          </w:p>
          <w:p w14:paraId="530819E8"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May reduce diversion and creates greater capacity for higher revenue patients.</w:t>
            </w:r>
          </w:p>
          <w:p w14:paraId="78D6B60A"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May improve market share as "preferred provider."</w:t>
            </w:r>
          </w:p>
          <w:p w14:paraId="601298E3"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Improves relationships with ambulatory providers.</w:t>
            </w:r>
          </w:p>
          <w:p w14:paraId="44803506" w14:textId="77777777" w:rsidR="00AC1922" w:rsidRPr="00AC1922" w:rsidRDefault="00AC1922" w:rsidP="00AC1922">
            <w:pPr>
              <w:numPr>
                <w:ilvl w:val="0"/>
                <w:numId w:val="5"/>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Prepares for changes in CMS rules regarding readmission reimbursement.</w:t>
            </w:r>
          </w:p>
          <w:p w14:paraId="057F0AFD" w14:textId="77777777" w:rsidR="00AC1922" w:rsidRPr="00AC1922" w:rsidRDefault="00AC1922" w:rsidP="00AC1922">
            <w:pPr>
              <w:spacing w:after="100" w:afterAutospacing="1"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b/>
                <w:bCs/>
                <w:kern w:val="0"/>
                <w14:ligatures w14:val="none"/>
              </w:rPr>
              <w:t>Improves Patient Centeredness and Hospital's Community Image</w:t>
            </w:r>
          </w:p>
          <w:p w14:paraId="75D53D49" w14:textId="77777777" w:rsidR="00AC1922" w:rsidRPr="00AC1922" w:rsidRDefault="00AC1922" w:rsidP="00AC1922">
            <w:pPr>
              <w:numPr>
                <w:ilvl w:val="0"/>
                <w:numId w:val="6"/>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Brands the hospital as high-quality facility.</w:t>
            </w:r>
          </w:p>
          <w:p w14:paraId="109D0E43" w14:textId="77777777" w:rsidR="00AC1922" w:rsidRPr="00AC1922" w:rsidRDefault="00AC1922" w:rsidP="00AC1922">
            <w:pPr>
              <w:numPr>
                <w:ilvl w:val="0"/>
                <w:numId w:val="6"/>
              </w:numPr>
              <w:spacing w:before="45" w:after="165" w:line="312" w:lineRule="atLeast"/>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Improves patient and family satisfaction.</w:t>
            </w:r>
          </w:p>
        </w:tc>
      </w:tr>
    </w:tbl>
    <w:p w14:paraId="431D0ADB" w14:textId="77777777" w:rsidR="00AC1922" w:rsidRPr="00AC1922" w:rsidRDefault="00AC1922" w:rsidP="00AC1922">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AC1922">
        <w:rPr>
          <w:rFonts w:ascii="Arial" w:eastAsia="Times New Roman" w:hAnsi="Arial" w:cs="Arial"/>
          <w:b/>
          <w:bCs/>
          <w:color w:val="1B1B1B"/>
          <w:kern w:val="0"/>
          <w:sz w:val="36"/>
          <w:szCs w:val="36"/>
          <w14:ligatures w14:val="none"/>
        </w:rPr>
        <w:lastRenderedPageBreak/>
        <w:t>New and Improved RED Toolkit</w:t>
      </w:r>
    </w:p>
    <w:p w14:paraId="4C365531"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color w:val="1B1B1B"/>
          <w:kern w:val="0"/>
          <w:sz w:val="26"/>
          <w:szCs w:val="26"/>
          <w14:ligatures w14:val="none"/>
        </w:rPr>
        <w:t xml:space="preserve">The Boston University team developed a toolkit describing how it implemented the RED at Boston Medical Center. There were, however, additional implementation issues that needed to be addressed to ensure that the toolkit would be generalizable to a variety of hospital types and patient populations. The RED toolkit has been expanded to provide complete implementation guidance and adapted to address language </w:t>
      </w:r>
      <w:r w:rsidRPr="00AC1922">
        <w:rPr>
          <w:rFonts w:ascii="Source Sans Pro" w:eastAsia="Times New Roman" w:hAnsi="Source Sans Pro" w:cs="Times New Roman"/>
          <w:color w:val="1B1B1B"/>
          <w:kern w:val="0"/>
          <w:sz w:val="26"/>
          <w:szCs w:val="26"/>
          <w14:ligatures w14:val="none"/>
        </w:rPr>
        <w:lastRenderedPageBreak/>
        <w:t>barriers, cross-cultural issues, and disparities in health care communication and trust. The toolkit now includes five additional tools that provide step-by-step instructions as a springboard for hospitals to proactively address avoidable readmissions. Below is a brief description of each tool.</w:t>
      </w:r>
    </w:p>
    <w:p w14:paraId="5B6F0646"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Tool 2: The Re-Engineered Discharge: How To Begin Implementation at Your Hospital.</w:t>
      </w:r>
      <w:r w:rsidRPr="00AC1922">
        <w:rPr>
          <w:rFonts w:ascii="Source Sans Pro" w:eastAsia="Times New Roman" w:hAnsi="Source Sans Pro" w:cs="Times New Roman"/>
          <w:color w:val="1B1B1B"/>
          <w:kern w:val="0"/>
          <w:sz w:val="26"/>
          <w:szCs w:val="26"/>
          <w14:ligatures w14:val="none"/>
        </w:rPr>
        <w:t> This tool outlines the steps you need to take to begin implementation at your hospital. It will help you consider all aspects of implementation, from planning your implementation team to identifying potential barriers. For example, it reviews the advantages and disadvantages of integrating the discharge education functions into the duties of the staff nurse responsible for patient discharge versus a strategy of hiring dedicated discharge educators to perform these functions.</w:t>
      </w:r>
    </w:p>
    <w:p w14:paraId="4D50A497"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Tool 3: How To Deliver the Re-Engineered Discharge.</w:t>
      </w:r>
      <w:r w:rsidRPr="00AC1922">
        <w:rPr>
          <w:rFonts w:ascii="Source Sans Pro" w:eastAsia="Times New Roman" w:hAnsi="Source Sans Pro" w:cs="Times New Roman"/>
          <w:color w:val="1B1B1B"/>
          <w:kern w:val="0"/>
          <w:sz w:val="26"/>
          <w:szCs w:val="26"/>
          <w14:ligatures w14:val="none"/>
        </w:rPr>
        <w:t> This tool describes various tasks the discharge educators undertake to implement the RED components, from reconciling medicine lists to reviewing the After Hospital Care Plan (AHCP) with the patient. The tool includes instructions about how to create an AHCP,the easy-to-understand booklet for patients with instructions about how to take care of themselves after leaving the hospital.</w:t>
      </w:r>
    </w:p>
    <w:p w14:paraId="29C703AF"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Tool 4: How To Deliver the RED to Diverse Populations.</w:t>
      </w:r>
      <w:r w:rsidRPr="00AC1922">
        <w:rPr>
          <w:rFonts w:ascii="Source Sans Pro" w:eastAsia="Times New Roman" w:hAnsi="Source Sans Pro" w:cs="Times New Roman"/>
          <w:color w:val="1B1B1B"/>
          <w:kern w:val="0"/>
          <w:sz w:val="26"/>
          <w:szCs w:val="26"/>
          <w14:ligatures w14:val="none"/>
        </w:rPr>
        <w:t> A culturally competent approach ensures the effective delivery of the RED to all eligible patients and improves the quality of health care service. This tool assists discharge educators in delivering the RED to patients from diverse backgrounds, including diverse language, culture, race, ethnicity, education, literacy, and social circumstance.</w:t>
      </w:r>
    </w:p>
    <w:p w14:paraId="52E50759"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Tool 5: How To Conduct a Postdischarge Followup Telephone Call.</w:t>
      </w:r>
      <w:r w:rsidRPr="00AC1922">
        <w:rPr>
          <w:rFonts w:ascii="Source Sans Pro" w:eastAsia="Times New Roman" w:hAnsi="Source Sans Pro" w:cs="Times New Roman"/>
          <w:color w:val="1B1B1B"/>
          <w:kern w:val="0"/>
          <w:sz w:val="26"/>
          <w:szCs w:val="26"/>
          <w14:ligatures w14:val="none"/>
        </w:rPr>
        <w:t> The postdischarge reinforcement phone call is scheduled within 72 hours of a patient's hospital discharge. The objectives are to review appointments, medicines, medical issues, and actions to take if a nonemergent problem arises. This tool provides a script for the phone call, a form for documenting the phone call, and a role play script that can be used as a model in training callers.</w:t>
      </w:r>
    </w:p>
    <w:p w14:paraId="3757B2B4" w14:textId="77777777" w:rsidR="00AC1922" w:rsidRPr="00AC1922" w:rsidRDefault="00AC1922" w:rsidP="00AC1922">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AC1922">
        <w:rPr>
          <w:rFonts w:ascii="Source Sans Pro" w:eastAsia="Times New Roman" w:hAnsi="Source Sans Pro" w:cs="Times New Roman"/>
          <w:b/>
          <w:bCs/>
          <w:color w:val="1B1B1B"/>
          <w:kern w:val="0"/>
          <w:sz w:val="26"/>
          <w:szCs w:val="26"/>
          <w14:ligatures w14:val="none"/>
        </w:rPr>
        <w:t>Tool 6: How To Monitor RED Implementation and Outcomes</w:t>
      </w:r>
      <w:r w:rsidRPr="00AC1922">
        <w:rPr>
          <w:rFonts w:ascii="Source Sans Pro" w:eastAsia="Times New Roman" w:hAnsi="Source Sans Pro" w:cs="Times New Roman"/>
          <w:color w:val="1B1B1B"/>
          <w:kern w:val="0"/>
          <w:sz w:val="26"/>
          <w:szCs w:val="26"/>
          <w14:ligatures w14:val="none"/>
        </w:rPr>
        <w:t xml:space="preserve">. This tool will help you begin to examine your hospital's current rate of readmissions and implement a program to monitor your hospital's progress. It reviews the reasons for measuring </w:t>
      </w:r>
      <w:r w:rsidRPr="00AC1922">
        <w:rPr>
          <w:rFonts w:ascii="Source Sans Pro" w:eastAsia="Times New Roman" w:hAnsi="Source Sans Pro" w:cs="Times New Roman"/>
          <w:color w:val="1B1B1B"/>
          <w:kern w:val="0"/>
          <w:sz w:val="26"/>
          <w:szCs w:val="26"/>
          <w14:ligatures w14:val="none"/>
        </w:rPr>
        <w:lastRenderedPageBreak/>
        <w:t>transitional care, suggests implementation and outcome measures, and reviews the availability of data to create benchmarks.</w:t>
      </w:r>
    </w:p>
    <w:p w14:paraId="56ED5E65" w14:textId="77777777" w:rsidR="00AC1922" w:rsidRPr="00AC1922" w:rsidRDefault="00AC1922" w:rsidP="00AC1922">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AC1922">
        <w:rPr>
          <w:rFonts w:ascii="Arial" w:eastAsia="Times New Roman" w:hAnsi="Arial" w:cs="Arial"/>
          <w:b/>
          <w:bCs/>
          <w:color w:val="1B1B1B"/>
          <w:kern w:val="0"/>
          <w:sz w:val="45"/>
          <w:szCs w:val="45"/>
          <w14:ligatures w14:val="none"/>
        </w:rPr>
        <w:t>Tool 2: How To Begin the Re-engineered Discharge Implementation at Your Hospital</w:t>
      </w:r>
    </w:p>
    <w:p w14:paraId="6B4B3795" w14:textId="77777777" w:rsidR="00AC1922" w:rsidRPr="00AC1922" w:rsidRDefault="00AC1922" w:rsidP="00AC1922">
      <w:pPr>
        <w:spacing w:after="100" w:afterAutospacing="1" w:line="312" w:lineRule="atLeast"/>
        <w:outlineLvl w:val="2"/>
        <w:rPr>
          <w:rFonts w:ascii="Arial" w:eastAsia="Times New Roman" w:hAnsi="Arial" w:cs="Arial"/>
          <w:b/>
          <w:bCs/>
          <w:kern w:val="0"/>
          <w:sz w:val="36"/>
          <w:szCs w:val="36"/>
          <w14:ligatures w14:val="none"/>
        </w:rPr>
      </w:pPr>
      <w:r w:rsidRPr="00AC1922">
        <w:rPr>
          <w:rFonts w:ascii="Arial" w:eastAsia="Times New Roman" w:hAnsi="Arial" w:cs="Arial"/>
          <w:b/>
          <w:bCs/>
          <w:kern w:val="0"/>
          <w:sz w:val="36"/>
          <w:szCs w:val="36"/>
          <w14:ligatures w14:val="none"/>
        </w:rPr>
        <w:t>Purpose of This Tool</w:t>
      </w:r>
    </w:p>
    <w:p w14:paraId="3FA048B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While you might be motivated to improve the discharge process and reduce the number of readmissions at your hospital, you may not know where to begin. For this reason, the Agency for Healthcare Research and Quality (AHRQ) contracted with Boston University Medical Center (BUMC) to prepare a set of tools to assist hospitals to implement the Re-Engineered Discharge (RED).</w:t>
      </w:r>
    </w:p>
    <w:p w14:paraId="03134D0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As described in the Overview, there are several reasons that hospitals should provide the RED to patients discharged from their facilities</w:t>
      </w:r>
      <w:hyperlink r:id="rId22" w:anchor="ref1" w:history="1">
        <w:r w:rsidRPr="00AC1922">
          <w:rPr>
            <w:rFonts w:ascii="Source Sans Pro" w:eastAsia="Times New Roman" w:hAnsi="Source Sans Pro" w:cs="Times New Roman"/>
            <w:color w:val="005B94"/>
            <w:kern w:val="0"/>
            <w:sz w:val="19"/>
            <w:szCs w:val="19"/>
            <w:u w:val="single"/>
            <w:vertAlign w:val="superscript"/>
            <w14:ligatures w14:val="none"/>
          </w:rPr>
          <w:t>1,2</w:t>
        </w:r>
      </w:hyperlink>
      <w:r w:rsidRPr="00AC1922">
        <w:rPr>
          <w:rFonts w:ascii="Source Sans Pro" w:eastAsia="Times New Roman" w:hAnsi="Source Sans Pro" w:cs="Times New Roman"/>
          <w:kern w:val="0"/>
          <w:sz w:val="26"/>
          <w:szCs w:val="26"/>
          <w14:ligatures w14:val="none"/>
        </w:rPr>
        <w:t>:</w:t>
      </w:r>
    </w:p>
    <w:p w14:paraId="167E111B" w14:textId="77777777" w:rsidR="00AC1922" w:rsidRPr="00AC1922" w:rsidRDefault="00AC1922" w:rsidP="00AC1922">
      <w:pPr>
        <w:numPr>
          <w:ilvl w:val="0"/>
          <w:numId w:val="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RED ensures that all discharged patients who have received the RED understand how to care for themselves in the days after discharge.</w:t>
      </w:r>
    </w:p>
    <w:p w14:paraId="7D63084E" w14:textId="77777777" w:rsidR="00AC1922" w:rsidRPr="00AC1922" w:rsidRDefault="00AC1922" w:rsidP="00AC1922">
      <w:pPr>
        <w:numPr>
          <w:ilvl w:val="0"/>
          <w:numId w:val="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RED reduces emergency department visits and readmissions. When hospitals decide whether to introduce a new process, the decisionmaking is usually centered on "how much patients benefit" versus "how much it costs." Rarely are there new processes that result in patient benefit </w:t>
      </w:r>
      <w:r w:rsidRPr="00AC1922">
        <w:rPr>
          <w:rFonts w:ascii="Source Sans Pro" w:eastAsia="Times New Roman" w:hAnsi="Source Sans Pro" w:cs="Times New Roman"/>
          <w:i/>
          <w:iCs/>
          <w:kern w:val="0"/>
          <w:sz w:val="26"/>
          <w:szCs w:val="26"/>
          <w14:ligatures w14:val="none"/>
        </w:rPr>
        <w:t>and</w:t>
      </w:r>
      <w:r w:rsidRPr="00AC1922">
        <w:rPr>
          <w:rFonts w:ascii="Source Sans Pro" w:eastAsia="Times New Roman" w:hAnsi="Source Sans Pro" w:cs="Times New Roman"/>
          <w:kern w:val="0"/>
          <w:sz w:val="26"/>
          <w:szCs w:val="26"/>
          <w14:ligatures w14:val="none"/>
        </w:rPr>
        <w:t> reduced costs. The RED is such a process.</w:t>
      </w:r>
    </w:p>
    <w:p w14:paraId="5B42A4D3" w14:textId="77777777" w:rsidR="00AC1922" w:rsidRPr="00AC1922" w:rsidRDefault="00AC1922" w:rsidP="00AC1922">
      <w:pPr>
        <w:numPr>
          <w:ilvl w:val="0"/>
          <w:numId w:val="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Patients and families are highly satisfied with the care they receive when provided RED discharges.</w:t>
      </w:r>
    </w:p>
    <w:p w14:paraId="26BA22AC"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This tool provides a step-by-step approach to how to begin implementation at your hospital.</w:t>
      </w:r>
    </w:p>
    <w:p w14:paraId="4DD0E92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RED implementation can take from 6 to 12 months or longer, as this process is very site specific. We recommend that before starting to deliver the RED to your patients, you complete each of the steps in this tool. We also suggest that you attempt to identify potential barriers and rate-limiting steps early in the implementation process.</w:t>
      </w:r>
    </w:p>
    <w:p w14:paraId="628DD170"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2" w:name="Steps"/>
      <w:r w:rsidRPr="00AC1922">
        <w:rPr>
          <w:rFonts w:ascii="Source Sans Pro" w:eastAsia="Times New Roman" w:hAnsi="Source Sans Pro" w:cs="Times New Roman"/>
          <w:kern w:val="0"/>
          <w:sz w:val="26"/>
          <w:szCs w:val="26"/>
          <w14:ligatures w14:val="none"/>
        </w:rPr>
        <w:t> </w:t>
      </w:r>
      <w:bookmarkEnd w:id="2"/>
    </w:p>
    <w:p w14:paraId="75A8A614" w14:textId="77777777" w:rsidR="00AC1922" w:rsidRPr="00AC1922" w:rsidRDefault="00AC1922" w:rsidP="00AC1922">
      <w:pPr>
        <w:spacing w:after="100" w:afterAutospacing="1" w:line="312" w:lineRule="atLeast"/>
        <w:outlineLvl w:val="2"/>
        <w:rPr>
          <w:rFonts w:ascii="Arial" w:eastAsia="Times New Roman" w:hAnsi="Arial" w:cs="Arial"/>
          <w:b/>
          <w:bCs/>
          <w:kern w:val="0"/>
          <w:sz w:val="36"/>
          <w:szCs w:val="36"/>
          <w14:ligatures w14:val="none"/>
        </w:rPr>
      </w:pPr>
      <w:r w:rsidRPr="00AC1922">
        <w:rPr>
          <w:rFonts w:ascii="Arial" w:eastAsia="Times New Roman" w:hAnsi="Arial" w:cs="Arial"/>
          <w:b/>
          <w:bCs/>
          <w:kern w:val="0"/>
          <w:sz w:val="36"/>
          <w:szCs w:val="36"/>
          <w14:ligatures w14:val="none"/>
        </w:rPr>
        <w:lastRenderedPageBreak/>
        <w:t>Eleven Steps To Implement the Re-Engineered Discharge</w:t>
      </w:r>
    </w:p>
    <w:p w14:paraId="61F838C9"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bookmarkStart w:id="3" w:name="Step1"/>
      <w:bookmarkEnd w:id="3"/>
      <w:r w:rsidRPr="00AC1922">
        <w:rPr>
          <w:rFonts w:ascii="Arial" w:eastAsia="Times New Roman" w:hAnsi="Arial" w:cs="Arial"/>
          <w:b/>
          <w:bCs/>
          <w:kern w:val="0"/>
          <w:sz w:val="30"/>
          <w:szCs w:val="30"/>
          <w14:ligatures w14:val="none"/>
        </w:rPr>
        <w:t>Step 1: Make a Clear and Decisive Statement</w:t>
      </w:r>
    </w:p>
    <w:p w14:paraId="0AA76A0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first step in successful implementation is for the senior management of the hospital to make a clear and decisive statement about the importance of the hospital providing a comprehensive and safe hospital discharge. You need to be clear as to why this is a priority and what you hope to achieve (e.g., reduced readmission rates, increased patient satisfaction, return on investment).</w:t>
      </w:r>
    </w:p>
    <w:p w14:paraId="539BAE24"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Hospitals with a motivated </w:t>
      </w:r>
      <w:r w:rsidRPr="00AC1922">
        <w:rPr>
          <w:rFonts w:ascii="Source Sans Pro" w:eastAsia="Times New Roman" w:hAnsi="Source Sans Pro" w:cs="Times New Roman"/>
          <w:i/>
          <w:iCs/>
          <w:kern w:val="0"/>
          <w:sz w:val="26"/>
          <w:szCs w:val="26"/>
          <w14:ligatures w14:val="none"/>
        </w:rPr>
        <w:t>executive sponsor</w:t>
      </w:r>
      <w:r w:rsidRPr="00AC1922">
        <w:rPr>
          <w:rFonts w:ascii="Source Sans Pro" w:eastAsia="Times New Roman" w:hAnsi="Source Sans Pro" w:cs="Times New Roman"/>
          <w:kern w:val="0"/>
          <w:sz w:val="26"/>
          <w:szCs w:val="26"/>
          <w14:ligatures w14:val="none"/>
        </w:rPr>
        <w:t> who serves as a readmission reduction champion are more likely to successfully implement the RED. The executive sponsor:</w:t>
      </w:r>
    </w:p>
    <w:p w14:paraId="167470E0"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Aligns readmission reduction with the organization's strategies and priorities.</w:t>
      </w:r>
    </w:p>
    <w:p w14:paraId="0C1AF408"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Sets the vision and the goal that defines success.</w:t>
      </w:r>
    </w:p>
    <w:p w14:paraId="0110824B"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Communicates your commitment to all the key stakeholders.</w:t>
      </w:r>
    </w:p>
    <w:p w14:paraId="7163313D"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Identifies external partners (e.g., insurance companies, health plans).</w:t>
      </w:r>
    </w:p>
    <w:p w14:paraId="0564E1A2"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Provides resources and staff needed to carry out a successful implementation.</w:t>
      </w:r>
    </w:p>
    <w:p w14:paraId="0A30B515"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Selects the project leader.</w:t>
      </w:r>
    </w:p>
    <w:p w14:paraId="099FA712"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Sets policies to coordinate implementation and integrate RED components across organizational boundaries.</w:t>
      </w:r>
    </w:p>
    <w:p w14:paraId="4CD9191B"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Gets information technology (IT) staff on board.</w:t>
      </w:r>
    </w:p>
    <w:p w14:paraId="3FA50A28"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Holds people accountable.</w:t>
      </w:r>
    </w:p>
    <w:p w14:paraId="39838935" w14:textId="77777777" w:rsidR="00AC1922" w:rsidRPr="00AC1922" w:rsidRDefault="00AC1922" w:rsidP="00AC1922">
      <w:pPr>
        <w:numPr>
          <w:ilvl w:val="0"/>
          <w:numId w:val="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Recognizes and rewards success.</w:t>
      </w:r>
    </w:p>
    <w:p w14:paraId="06338695"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4" w:name="Step2"/>
      <w:r w:rsidRPr="00AC1922">
        <w:rPr>
          <w:rFonts w:ascii="Source Sans Pro" w:eastAsia="Times New Roman" w:hAnsi="Source Sans Pro" w:cs="Times New Roman"/>
          <w:kern w:val="0"/>
          <w:sz w:val="26"/>
          <w:szCs w:val="26"/>
          <w14:ligatures w14:val="none"/>
        </w:rPr>
        <w:t> </w:t>
      </w:r>
      <w:bookmarkEnd w:id="4"/>
    </w:p>
    <w:p w14:paraId="01BEAAD2"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2: Identify Your Implementation Leadership</w:t>
      </w:r>
    </w:p>
    <w:p w14:paraId="0AABDF9B"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 xml:space="preserve">At least 6 months before starting implementation at your hospital, the executive sponsor should identify a key individual in your organization to be the project leader to manage the day-to-day progress of the project. This could be a nurse, physician, administrator, or other member of the hospital quality improvement and patient </w:t>
      </w:r>
      <w:r w:rsidRPr="00AC1922">
        <w:rPr>
          <w:rFonts w:ascii="Source Sans Pro" w:eastAsia="Times New Roman" w:hAnsi="Source Sans Pro" w:cs="Times New Roman"/>
          <w:kern w:val="0"/>
          <w:sz w:val="26"/>
          <w:szCs w:val="26"/>
          <w14:ligatures w14:val="none"/>
        </w:rPr>
        <w:lastRenderedPageBreak/>
        <w:t>safety team. Ideally, this project leader should be well respected within the institution and have the authority to move a new project forward. He or she must understand the importance of fundamental change to the discharge process, be enthusiastic about the RED's success, and have clear buy-in from medical, nursing, and administrative staff that the RED is important to the hospital's success.</w:t>
      </w:r>
    </w:p>
    <w:p w14:paraId="7EAE0251"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project leader is responsible for:</w:t>
      </w:r>
    </w:p>
    <w:p w14:paraId="749BD96B"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Recruiting a collaborative, interdisciplinary </w:t>
      </w:r>
      <w:r w:rsidRPr="00AC1922">
        <w:rPr>
          <w:rFonts w:ascii="Source Sans Pro" w:eastAsia="Times New Roman" w:hAnsi="Source Sans Pro" w:cs="Times New Roman"/>
          <w:i/>
          <w:iCs/>
          <w:kern w:val="0"/>
          <w:sz w:val="26"/>
          <w:szCs w:val="26"/>
          <w14:ligatures w14:val="none"/>
        </w:rPr>
        <w:t>implementation team</w:t>
      </w:r>
      <w:r w:rsidRPr="00AC1922">
        <w:rPr>
          <w:rFonts w:ascii="Source Sans Pro" w:eastAsia="Times New Roman" w:hAnsi="Source Sans Pro" w:cs="Times New Roman"/>
          <w:kern w:val="0"/>
          <w:sz w:val="26"/>
          <w:szCs w:val="26"/>
          <w14:ligatures w14:val="none"/>
        </w:rPr>
        <w:t>.</w:t>
      </w:r>
    </w:p>
    <w:p w14:paraId="19F0E678"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Identifying process owners and change champions.</w:t>
      </w:r>
    </w:p>
    <w:p w14:paraId="49C6422A"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Getting buy-in of hospital staff.</w:t>
      </w:r>
    </w:p>
    <w:p w14:paraId="55E5246A"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Creating an implementation plan that will work.</w:t>
      </w:r>
    </w:p>
    <w:p w14:paraId="52B2EA92"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Building skills to support and sustain improvement.</w:t>
      </w:r>
    </w:p>
    <w:p w14:paraId="34DDCABE"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Troubleshooting as the RED is rolled out.</w:t>
      </w:r>
    </w:p>
    <w:p w14:paraId="3BB79D7C"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Monitoring and reporting progress on key measures and providing feedback.</w:t>
      </w:r>
    </w:p>
    <w:p w14:paraId="0E217C4F" w14:textId="77777777" w:rsidR="00AC1922" w:rsidRPr="00AC1922" w:rsidRDefault="00AC1922" w:rsidP="00AC1922">
      <w:pPr>
        <w:numPr>
          <w:ilvl w:val="0"/>
          <w:numId w:val="9"/>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Monitoring sustainability.</w:t>
      </w:r>
    </w:p>
    <w:p w14:paraId="35AAA982"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Form the Implementation Team</w:t>
      </w:r>
    </w:p>
    <w:p w14:paraId="6F35ACA7"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With the assistance of the senior management, the project leader should identify an implementation team that includes participants from key constituencies within the hospital clinical and administrative structure.</w:t>
      </w:r>
      <w:hyperlink r:id="rId23" w:anchor="ref3" w:history="1">
        <w:r w:rsidRPr="00AC1922">
          <w:rPr>
            <w:rFonts w:ascii="Source Sans Pro" w:eastAsia="Times New Roman" w:hAnsi="Source Sans Pro" w:cs="Times New Roman"/>
            <w:color w:val="005B94"/>
            <w:kern w:val="0"/>
            <w:sz w:val="19"/>
            <w:szCs w:val="19"/>
            <w:u w:val="single"/>
            <w:vertAlign w:val="superscript"/>
            <w14:ligatures w14:val="none"/>
          </w:rPr>
          <w:t>3</w:t>
        </w:r>
      </w:hyperlink>
      <w:r w:rsidRPr="00AC1922">
        <w:rPr>
          <w:rFonts w:ascii="Source Sans Pro" w:eastAsia="Times New Roman" w:hAnsi="Source Sans Pro" w:cs="Times New Roman"/>
          <w:kern w:val="0"/>
          <w:sz w:val="26"/>
          <w:szCs w:val="26"/>
          <w14:ligatures w14:val="none"/>
        </w:rPr>
        <w:t> Consider having representatives from such groups as:</w:t>
      </w:r>
    </w:p>
    <w:p w14:paraId="792D66FE"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 safety.</w:t>
      </w:r>
    </w:p>
    <w:p w14:paraId="5DD526DE"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Nursing and physician leadership.</w:t>
      </w:r>
    </w:p>
    <w:p w14:paraId="5540F195"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Case management.</w:t>
      </w:r>
    </w:p>
    <w:p w14:paraId="3780C04A"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Hospital administration.</w:t>
      </w:r>
    </w:p>
    <w:p w14:paraId="615DA495"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Hospital IT.</w:t>
      </w:r>
    </w:p>
    <w:p w14:paraId="607FCFD4"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Hospital pharmacy leadership.</w:t>
      </w:r>
    </w:p>
    <w:p w14:paraId="2254E0D8"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Patients, family members, and other community members.</w:t>
      </w:r>
    </w:p>
    <w:p w14:paraId="2D42765E"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 educators.</w:t>
      </w:r>
    </w:p>
    <w:p w14:paraId="69C3BAF4"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Health plans with whom you can partner in delivering the RED.</w:t>
      </w:r>
    </w:p>
    <w:p w14:paraId="14E8156F"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Discharge planning.</w:t>
      </w:r>
    </w:p>
    <w:p w14:paraId="268B014B"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Social work.</w:t>
      </w:r>
    </w:p>
    <w:p w14:paraId="3DBD560A"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Chaplain/clergy.</w:t>
      </w:r>
    </w:p>
    <w:p w14:paraId="239A9587"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Medical records leadership.</w:t>
      </w:r>
    </w:p>
    <w:p w14:paraId="7C6711FD" w14:textId="77777777" w:rsidR="00AC1922" w:rsidRPr="00AC1922" w:rsidRDefault="00AC1922" w:rsidP="00AC1922">
      <w:pPr>
        <w:numPr>
          <w:ilvl w:val="0"/>
          <w:numId w:val="10"/>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Interpreter services.</w:t>
      </w:r>
    </w:p>
    <w:p w14:paraId="192A0EB9"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implementation team will need to be freed up so that they can meet regularly under the direction of the project leader. This group will be responsible for operationalizing the RED processes within the hospital and for reporting implementation progress. The implementation team should report regularly through the project leader to the senior management team about results and progress toward achieving hospital goals.</w:t>
      </w:r>
    </w:p>
    <w:p w14:paraId="7D8393C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Identify Process Owners and Change Champions</w:t>
      </w:r>
    </w:p>
    <w:p w14:paraId="3BC8A7C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i/>
          <w:iCs/>
          <w:kern w:val="0"/>
          <w:sz w:val="26"/>
          <w:szCs w:val="26"/>
          <w14:ligatures w14:val="none"/>
        </w:rPr>
        <w:t>Change champions</w:t>
      </w:r>
      <w:r w:rsidRPr="00AC1922">
        <w:rPr>
          <w:rFonts w:ascii="Source Sans Pro" w:eastAsia="Times New Roman" w:hAnsi="Source Sans Pro" w:cs="Times New Roman"/>
          <w:kern w:val="0"/>
          <w:sz w:val="26"/>
          <w:szCs w:val="26"/>
          <w14:ligatures w14:val="none"/>
        </w:rPr>
        <w:t> should include leadership from varying professional groups (e.g., members of the medical and nursing staff). These motivated team members can educate their respective professional groups and advocate for the changes the RED will bring. They are also the representatives and advocates of their respective groups within the RED implementation team. Change champions are also tasked with moving from the planning and pilot stages to sustaining changes and improvements resulting from the RED.</w:t>
      </w:r>
    </w:p>
    <w:p w14:paraId="1BD8AA5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i/>
          <w:iCs/>
          <w:kern w:val="0"/>
          <w:sz w:val="26"/>
          <w:szCs w:val="26"/>
          <w14:ligatures w14:val="none"/>
        </w:rPr>
        <w:t>Process owners</w:t>
      </w:r>
      <w:r w:rsidRPr="00AC1922">
        <w:rPr>
          <w:rFonts w:ascii="Source Sans Pro" w:eastAsia="Times New Roman" w:hAnsi="Source Sans Pro" w:cs="Times New Roman"/>
          <w:kern w:val="0"/>
          <w:sz w:val="26"/>
          <w:szCs w:val="26"/>
          <w14:ligatures w14:val="none"/>
        </w:rPr>
        <w:t> will be the staff members responsible for completing each of the RED components. A single staff person will likely be responsible for several or even most of the components. However, the implementation team must clearly decide who is involved in the completion of each RED component and who is ultimately responsible.</w:t>
      </w:r>
    </w:p>
    <w:p w14:paraId="620BEF3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Get Buy-In From Hospital Staff</w:t>
      </w:r>
    </w:p>
    <w:p w14:paraId="7EE638B2"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 xml:space="preserve">Change often begets resistance. The most common source of resistance for a project such as the RED comes from IT departments. IT's involvement is needed if your hospital decides to generate the After Hospital Care Plan (AHCP) using data already in </w:t>
      </w:r>
      <w:r w:rsidRPr="00AC1922">
        <w:rPr>
          <w:rFonts w:ascii="Source Sans Pro" w:eastAsia="Times New Roman" w:hAnsi="Source Sans Pro" w:cs="Times New Roman"/>
          <w:kern w:val="0"/>
          <w:sz w:val="26"/>
          <w:szCs w:val="26"/>
          <w14:ligatures w14:val="none"/>
        </w:rPr>
        <w:lastRenderedPageBreak/>
        <w:t>your information systems. IT departments typically have a large workload, so establishing the priority of the RED usually needs to come from senior management.</w:t>
      </w:r>
    </w:p>
    <w:p w14:paraId="611A0BA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Another pocket of resistance may come from nursing and physician staff. Depending on who will fulfill the discharge educator (DE) role, the floor nurse job description may change. It is important to conduct a thorough analysis of established responsibilities and processes so that you are not just adding tasks and the job can be reorganized appropriately. Physician staff may now be required to change their policies and processes with regard to medication reconciliation, which may be difficult to implement. Hospital culture is well ingrained, so it will be important for leadership to communicate that following new policies is a priority.</w:t>
      </w:r>
    </w:p>
    <w:p w14:paraId="3F3F1E8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For successful implementation of the RED, it is critical that key constituencies within the hospital clearly understand the clinical, patient safety, and business case for reducing readmissions. The project leader can communicate with key constituencies through grand rounds presentations, inservice training (in person or by Webinar or by bringing in an expert speaker or consultant). Some hospitals have found that a public relations campaign designed for your setting can create a positive climate for implementation.</w:t>
      </w:r>
    </w:p>
    <w:p w14:paraId="7383E93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5" w:name="Step3"/>
      <w:r w:rsidRPr="00AC1922">
        <w:rPr>
          <w:rFonts w:ascii="Source Sans Pro" w:eastAsia="Times New Roman" w:hAnsi="Source Sans Pro" w:cs="Times New Roman"/>
          <w:kern w:val="0"/>
          <w:sz w:val="26"/>
          <w:szCs w:val="26"/>
          <w14:ligatures w14:val="none"/>
        </w:rPr>
        <w:t> </w:t>
      </w:r>
      <w:bookmarkEnd w:id="5"/>
    </w:p>
    <w:p w14:paraId="26974664"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3: Analyze Your Readmission Rates and Determine Your Goal</w:t>
      </w:r>
    </w:p>
    <w:p w14:paraId="14742899"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It is important to assess your current readmission rates before you implement the RED. </w:t>
      </w:r>
      <w:hyperlink r:id="rId24" w:history="1">
        <w:r w:rsidRPr="00AC1922">
          <w:rPr>
            <w:rFonts w:ascii="Source Sans Pro" w:eastAsia="Times New Roman" w:hAnsi="Source Sans Pro" w:cs="Times New Roman"/>
            <w:color w:val="005B94"/>
            <w:kern w:val="0"/>
            <w:sz w:val="26"/>
            <w:szCs w:val="26"/>
            <w:u w:val="single"/>
            <w14:ligatures w14:val="none"/>
          </w:rPr>
          <w:t>Tool 6, "How To Monitor RED Implementation and Outcomes,"</w:t>
        </w:r>
      </w:hyperlink>
      <w:r w:rsidRPr="00AC1922">
        <w:rPr>
          <w:rFonts w:ascii="Source Sans Pro" w:eastAsia="Times New Roman" w:hAnsi="Source Sans Pro" w:cs="Times New Roman"/>
          <w:kern w:val="0"/>
          <w:sz w:val="26"/>
          <w:szCs w:val="26"/>
          <w14:ligatures w14:val="none"/>
        </w:rPr>
        <w:t> provides details on how to calculate readmission rates. You will use these rates to create clear goals and measure the RED's impact. Some questions that are important to think about up front follow:</w:t>
      </w:r>
    </w:p>
    <w:p w14:paraId="474626E2" w14:textId="77777777" w:rsidR="00AC1922" w:rsidRPr="00AC1922" w:rsidRDefault="00AC1922" w:rsidP="00AC1922">
      <w:pPr>
        <w:numPr>
          <w:ilvl w:val="0"/>
          <w:numId w:val="11"/>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What is the current readmission rate? By specialty? By unit? By diagnosis?</w:t>
      </w:r>
    </w:p>
    <w:p w14:paraId="694E99DF" w14:textId="77777777" w:rsidR="00AC1922" w:rsidRPr="00AC1922" w:rsidRDefault="00AC1922" w:rsidP="00AC1922">
      <w:pPr>
        <w:numPr>
          <w:ilvl w:val="0"/>
          <w:numId w:val="11"/>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What is the readmission rate for those with limited English proficiency? Substance abuse or mental health comorbidities?</w:t>
      </w:r>
    </w:p>
    <w:p w14:paraId="0771DDD3" w14:textId="77777777" w:rsidR="00AC1922" w:rsidRPr="00AC1922" w:rsidRDefault="00AC1922" w:rsidP="00AC1922">
      <w:pPr>
        <w:numPr>
          <w:ilvl w:val="0"/>
          <w:numId w:val="11"/>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Have you benchmarked your hospital against peers and local and regional competitors?</w:t>
      </w:r>
    </w:p>
    <w:p w14:paraId="3657AB04" w14:textId="77777777" w:rsidR="00AC1922" w:rsidRPr="00AC1922" w:rsidRDefault="00AC1922" w:rsidP="00AC1922">
      <w:pPr>
        <w:numPr>
          <w:ilvl w:val="0"/>
          <w:numId w:val="11"/>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What is the target patient population (service, unit) for implementation?</w:t>
      </w:r>
    </w:p>
    <w:p w14:paraId="5C48773E" w14:textId="77777777" w:rsidR="00AC1922" w:rsidRPr="00AC1922" w:rsidRDefault="00AC1922" w:rsidP="00AC1922">
      <w:pPr>
        <w:numPr>
          <w:ilvl w:val="0"/>
          <w:numId w:val="11"/>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How do you determine success? What data do you need?</w:t>
      </w:r>
    </w:p>
    <w:p w14:paraId="6313679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results of implementing the RED at your hospital (and therefore the goals you set for your hospital) very much depend on your baseline readmission rate for the population with whom you plan to intervene. For example, if your 30-day readmission rate is 20 percent or greater, then it is reasonable to expect that a comprehensive discharge process such as the RED will lead to a reduction in the readmission rate of 20 to 25 percent. However, it will be much more difficult to lower a 30-day readmission rate that is already low, say 15 percent or less. To reduce a readmission rate that is already low, it is necessary to introduce postdischarge community-based interventions such as those described by Eric Coleman</w:t>
      </w:r>
      <w:hyperlink r:id="rId25" w:anchor="ref4" w:history="1">
        <w:r w:rsidRPr="00AC1922">
          <w:rPr>
            <w:rFonts w:ascii="Source Sans Pro" w:eastAsia="Times New Roman" w:hAnsi="Source Sans Pro" w:cs="Times New Roman"/>
            <w:color w:val="005B94"/>
            <w:kern w:val="0"/>
            <w:sz w:val="19"/>
            <w:szCs w:val="19"/>
            <w:u w:val="single"/>
            <w:vertAlign w:val="superscript"/>
            <w14:ligatures w14:val="none"/>
          </w:rPr>
          <w:t>4</w:t>
        </w:r>
      </w:hyperlink>
      <w:r w:rsidRPr="00AC1922">
        <w:rPr>
          <w:rFonts w:ascii="Source Sans Pro" w:eastAsia="Times New Roman" w:hAnsi="Source Sans Pro" w:cs="Times New Roman"/>
          <w:kern w:val="0"/>
          <w:sz w:val="26"/>
          <w:szCs w:val="26"/>
          <w14:ligatures w14:val="none"/>
        </w:rPr>
        <w:t> and Mary Naylor.</w:t>
      </w:r>
      <w:hyperlink r:id="rId26" w:anchor="ref5" w:history="1">
        <w:r w:rsidRPr="00AC1922">
          <w:rPr>
            <w:rFonts w:ascii="Source Sans Pro" w:eastAsia="Times New Roman" w:hAnsi="Source Sans Pro" w:cs="Times New Roman"/>
            <w:color w:val="005B94"/>
            <w:kern w:val="0"/>
            <w:sz w:val="19"/>
            <w:szCs w:val="19"/>
            <w:u w:val="single"/>
            <w:vertAlign w:val="superscript"/>
            <w14:ligatures w14:val="none"/>
          </w:rPr>
          <w:t>5</w:t>
        </w:r>
      </w:hyperlink>
    </w:p>
    <w:p w14:paraId="7A7A763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6" w:name="Step4"/>
      <w:r w:rsidRPr="00AC1922">
        <w:rPr>
          <w:rFonts w:ascii="Source Sans Pro" w:eastAsia="Times New Roman" w:hAnsi="Source Sans Pro" w:cs="Times New Roman"/>
          <w:kern w:val="0"/>
          <w:sz w:val="26"/>
          <w:szCs w:val="26"/>
          <w14:ligatures w14:val="none"/>
        </w:rPr>
        <w:t> </w:t>
      </w:r>
      <w:bookmarkEnd w:id="6"/>
    </w:p>
    <w:p w14:paraId="471695DE"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4: Identify Which Patients Should Receive the RED</w:t>
      </w:r>
    </w:p>
    <w:p w14:paraId="488036CC"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Even if your goal is to deliver the RED to all patients discharged from your hospital, it might make sense to roll out the implementation in phases. Based on the analysis of your hospital's needs and the goals you have set, you might want to identify selected subsets of patients who will receive the RED. Possible target populations include:</w:t>
      </w:r>
    </w:p>
    <w:p w14:paraId="79C2FF15" w14:textId="77777777" w:rsidR="00AC1922" w:rsidRPr="00AC1922" w:rsidRDefault="00AC1922" w:rsidP="00AC1922">
      <w:pPr>
        <w:numPr>
          <w:ilvl w:val="0"/>
          <w:numId w:val="12"/>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Patients with conditions initially targeted by the Centers for Medicare &amp; Medicaid Services (i.e., heart attack, pneumonia, and heart failure) for reduced funding if the hospital has excess readmissions.</w:t>
      </w:r>
    </w:p>
    <w:p w14:paraId="48C0B3B4" w14:textId="77777777" w:rsidR="00AC1922" w:rsidRPr="00AC1922" w:rsidRDefault="00AC1922" w:rsidP="00AC1922">
      <w:pPr>
        <w:numPr>
          <w:ilvl w:val="0"/>
          <w:numId w:val="12"/>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Patients with diagnoses with 30-day rehospitalization rates higher than the national average or higher than peer hospitals in your community.</w:t>
      </w:r>
    </w:p>
    <w:p w14:paraId="23BAC999" w14:textId="77777777" w:rsidR="00AC1922" w:rsidRPr="00AC1922" w:rsidRDefault="00AC1922" w:rsidP="00AC1922">
      <w:pPr>
        <w:numPr>
          <w:ilvl w:val="0"/>
          <w:numId w:val="12"/>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Sites of care (floor or unit) or services within the hospital (e.g., surgery, dialysis, post-CABG) that have the highest readmission rates.</w:t>
      </w:r>
    </w:p>
    <w:p w14:paraId="4FD4B7D1"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Our experience is that most hospitals begin with a targeted implementation focusing on a single diagnosis (usually heart failure), learning as they go and correcting the process as they learn. Some hospitals chose to start small and enroll only heart failure patients from a single unit of the hospital. Other hospitals chose to start with a full hospital implementation and, in at least one case, the RED was implemented simultaneously across an entire hospital system.</w:t>
      </w:r>
    </w:p>
    <w:p w14:paraId="2E9CA079"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Each implementation strategy can be effective if there is sufficient institutional motivation for success. The resources available, your decision style, and the urgency of lowering the readmission rate will all factor into this decision.</w:t>
      </w:r>
    </w:p>
    <w:p w14:paraId="49C509B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Is it Possible To Identify Individuals at High Risk of Readmission?</w:t>
      </w:r>
    </w:p>
    <w:p w14:paraId="271371F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 great deal of research has tried to identify those patients with a high probability of readmission. Several analyses of administrative data show that risk factors for readmission include age, length of stay during the index admission, increased comorbidity, and number of recent admissions (often measured in the last 6 months). Not all these data, however, are available at the time of admission.</w:t>
      </w:r>
    </w:p>
    <w:p w14:paraId="30074C66"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Furthermore, one recent review of prediction models concluded that most current models do not include variables associated with overall health and function, illness severity, or social determinants of health and therefore perform poorly.</w:t>
      </w:r>
      <w:hyperlink r:id="rId27" w:anchor="ref6" w:history="1">
        <w:r w:rsidRPr="00AC1922">
          <w:rPr>
            <w:rFonts w:ascii="Source Sans Pro" w:eastAsia="Times New Roman" w:hAnsi="Source Sans Pro" w:cs="Times New Roman"/>
            <w:color w:val="005B94"/>
            <w:kern w:val="0"/>
            <w:sz w:val="19"/>
            <w:szCs w:val="19"/>
            <w:u w:val="single"/>
            <w:vertAlign w:val="superscript"/>
            <w14:ligatures w14:val="none"/>
          </w:rPr>
          <w:t>6</w:t>
        </w:r>
      </w:hyperlink>
      <w:r w:rsidRPr="00AC1922">
        <w:rPr>
          <w:rFonts w:ascii="Source Sans Pro" w:eastAsia="Times New Roman" w:hAnsi="Source Sans Pro" w:cs="Times New Roman"/>
          <w:kern w:val="0"/>
          <w:sz w:val="26"/>
          <w:szCs w:val="26"/>
          <w14:ligatures w14:val="none"/>
        </w:rPr>
        <w:t> Efforts are needed to improve the ability to identify the likelihood of readmission for individual patients.</w:t>
      </w:r>
    </w:p>
    <w:p w14:paraId="230AA5B8"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RED research team showed that several biopsychosocial determinants of health are related to readmission. Low health literacy, low levels of activation, depressive symptoms,</w:t>
      </w:r>
      <w:hyperlink r:id="rId28" w:anchor="ref7" w:history="1">
        <w:r w:rsidRPr="00AC1922">
          <w:rPr>
            <w:rFonts w:ascii="Source Sans Pro" w:eastAsia="Times New Roman" w:hAnsi="Source Sans Pro" w:cs="Times New Roman"/>
            <w:color w:val="005B94"/>
            <w:kern w:val="0"/>
            <w:sz w:val="19"/>
            <w:szCs w:val="19"/>
            <w:u w:val="single"/>
            <w:vertAlign w:val="superscript"/>
            <w14:ligatures w14:val="none"/>
          </w:rPr>
          <w:t>7,8</w:t>
        </w:r>
      </w:hyperlink>
      <w:r w:rsidRPr="00AC1922">
        <w:rPr>
          <w:rFonts w:ascii="Source Sans Pro" w:eastAsia="Times New Roman" w:hAnsi="Source Sans Pro" w:cs="Times New Roman"/>
          <w:kern w:val="0"/>
          <w:sz w:val="26"/>
          <w:szCs w:val="26"/>
          <w14:ligatures w14:val="none"/>
        </w:rPr>
        <w:t> substance abuse,</w:t>
      </w:r>
      <w:hyperlink r:id="rId29" w:anchor="ref9" w:history="1">
        <w:r w:rsidRPr="00AC1922">
          <w:rPr>
            <w:rFonts w:ascii="Source Sans Pro" w:eastAsia="Times New Roman" w:hAnsi="Source Sans Pro" w:cs="Times New Roman"/>
            <w:color w:val="005B94"/>
            <w:kern w:val="0"/>
            <w:sz w:val="19"/>
            <w:szCs w:val="19"/>
            <w:u w:val="single"/>
            <w:vertAlign w:val="superscript"/>
            <w14:ligatures w14:val="none"/>
          </w:rPr>
          <w:t>9</w:t>
        </w:r>
      </w:hyperlink>
      <w:r w:rsidRPr="00AC1922">
        <w:rPr>
          <w:rFonts w:ascii="Source Sans Pro" w:eastAsia="Times New Roman" w:hAnsi="Source Sans Pro" w:cs="Times New Roman"/>
          <w:kern w:val="0"/>
          <w:sz w:val="26"/>
          <w:szCs w:val="26"/>
          <w14:ligatures w14:val="none"/>
        </w:rPr>
        <w:t> no followup with a primary care provider, and male gender</w:t>
      </w:r>
      <w:hyperlink r:id="rId30" w:anchor="ref10" w:history="1">
        <w:r w:rsidRPr="00AC1922">
          <w:rPr>
            <w:rFonts w:ascii="Source Sans Pro" w:eastAsia="Times New Roman" w:hAnsi="Source Sans Pro" w:cs="Times New Roman"/>
            <w:color w:val="005B94"/>
            <w:kern w:val="0"/>
            <w:sz w:val="19"/>
            <w:szCs w:val="19"/>
            <w:u w:val="single"/>
            <w:vertAlign w:val="superscript"/>
            <w14:ligatures w14:val="none"/>
          </w:rPr>
          <w:t>10</w:t>
        </w:r>
      </w:hyperlink>
      <w:r w:rsidRPr="00AC1922">
        <w:rPr>
          <w:rFonts w:ascii="Source Sans Pro" w:eastAsia="Times New Roman" w:hAnsi="Source Sans Pro" w:cs="Times New Roman"/>
          <w:kern w:val="0"/>
          <w:sz w:val="26"/>
          <w:szCs w:val="26"/>
          <w14:ligatures w14:val="none"/>
        </w:rPr>
        <w:t> were all associated with significantly higher rates of readmission when we controlled for other factors. Homelessness is also a risk factor associated with high readmission rates.</w:t>
      </w:r>
      <w:hyperlink r:id="rId31" w:anchor="ref11" w:history="1">
        <w:r w:rsidRPr="00AC1922">
          <w:rPr>
            <w:rFonts w:ascii="Source Sans Pro" w:eastAsia="Times New Roman" w:hAnsi="Source Sans Pro" w:cs="Times New Roman"/>
            <w:color w:val="005B94"/>
            <w:kern w:val="0"/>
            <w:sz w:val="19"/>
            <w:szCs w:val="19"/>
            <w:u w:val="single"/>
            <w:vertAlign w:val="superscript"/>
            <w14:ligatures w14:val="none"/>
          </w:rPr>
          <w:t>11</w:t>
        </w:r>
      </w:hyperlink>
      <w:r w:rsidRPr="00AC1922">
        <w:rPr>
          <w:rFonts w:ascii="Source Sans Pro" w:eastAsia="Times New Roman" w:hAnsi="Source Sans Pro" w:cs="Times New Roman"/>
          <w:kern w:val="0"/>
          <w:sz w:val="26"/>
          <w:szCs w:val="26"/>
          <w14:ligatures w14:val="none"/>
        </w:rPr>
        <w:t> These factors could be assessed on admission and could be useful in identifying patients at high risk of readmission.</w:t>
      </w:r>
      <w:hyperlink r:id="rId32" w:anchor="ref12" w:history="1">
        <w:r w:rsidRPr="00AC1922">
          <w:rPr>
            <w:rFonts w:ascii="Source Sans Pro" w:eastAsia="Times New Roman" w:hAnsi="Source Sans Pro" w:cs="Times New Roman"/>
            <w:color w:val="005B94"/>
            <w:kern w:val="0"/>
            <w:sz w:val="19"/>
            <w:szCs w:val="19"/>
            <w:u w:val="single"/>
            <w:vertAlign w:val="superscript"/>
            <w14:ligatures w14:val="none"/>
          </w:rPr>
          <w:t>12</w:t>
        </w:r>
      </w:hyperlink>
    </w:p>
    <w:p w14:paraId="6A845451"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7" w:name="Step5"/>
      <w:r w:rsidRPr="00AC1922">
        <w:rPr>
          <w:rFonts w:ascii="Source Sans Pro" w:eastAsia="Times New Roman" w:hAnsi="Source Sans Pro" w:cs="Times New Roman"/>
          <w:kern w:val="0"/>
          <w:sz w:val="26"/>
          <w:szCs w:val="26"/>
          <w14:ligatures w14:val="none"/>
        </w:rPr>
        <w:t> </w:t>
      </w:r>
      <w:bookmarkEnd w:id="7"/>
    </w:p>
    <w:p w14:paraId="71A38469"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5: Create Your Process Map</w:t>
      </w:r>
    </w:p>
    <w:p w14:paraId="291B99F2"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Creating a </w:t>
      </w:r>
      <w:r w:rsidRPr="00AC1922">
        <w:rPr>
          <w:rFonts w:ascii="Source Sans Pro" w:eastAsia="Times New Roman" w:hAnsi="Source Sans Pro" w:cs="Times New Roman"/>
          <w:i/>
          <w:iCs/>
          <w:kern w:val="0"/>
          <w:sz w:val="26"/>
          <w:szCs w:val="26"/>
          <w14:ligatures w14:val="none"/>
        </w:rPr>
        <w:t>process map</w:t>
      </w:r>
      <w:r w:rsidRPr="00AC1922">
        <w:rPr>
          <w:rFonts w:ascii="Source Sans Pro" w:eastAsia="Times New Roman" w:hAnsi="Source Sans Pro" w:cs="Times New Roman"/>
          <w:kern w:val="0"/>
          <w:sz w:val="26"/>
          <w:szCs w:val="26"/>
          <w14:ligatures w14:val="none"/>
        </w:rPr>
        <w:t> can help you to understand the current discharge process at your hospital. Process maps allow you to visualize your discharge process in a way that is easy to understand. A process map is considered to be an aid for picturing work processes that show how inputs, outputs, and tasks are linked. Process maps have several benefits. They:</w:t>
      </w:r>
    </w:p>
    <w:p w14:paraId="22ED9EAD" w14:textId="77777777" w:rsidR="00AC1922" w:rsidRPr="00AC1922" w:rsidRDefault="00AC1922" w:rsidP="00AC1922">
      <w:pPr>
        <w:numPr>
          <w:ilvl w:val="0"/>
          <w:numId w:val="13"/>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Reveal the tasks that need to be completed in order for a patient to be discharged.</w:t>
      </w:r>
    </w:p>
    <w:p w14:paraId="10ED0A73" w14:textId="77777777" w:rsidR="00AC1922" w:rsidRPr="00AC1922" w:rsidRDefault="00AC1922" w:rsidP="00AC1922">
      <w:pPr>
        <w:numPr>
          <w:ilvl w:val="0"/>
          <w:numId w:val="13"/>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Give a clearer explanation of a process than words.</w:t>
      </w:r>
    </w:p>
    <w:p w14:paraId="70B688B5" w14:textId="77777777" w:rsidR="00AC1922" w:rsidRPr="00AC1922" w:rsidRDefault="00AC1922" w:rsidP="00AC1922">
      <w:pPr>
        <w:numPr>
          <w:ilvl w:val="0"/>
          <w:numId w:val="13"/>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Impart understanding of potential problems.</w:t>
      </w:r>
    </w:p>
    <w:p w14:paraId="25A78B08" w14:textId="77777777" w:rsidR="00AC1922" w:rsidRPr="00AC1922" w:rsidRDefault="00AC1922" w:rsidP="00AC1922">
      <w:pPr>
        <w:numPr>
          <w:ilvl w:val="0"/>
          <w:numId w:val="13"/>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Allow participants who carry out individual tasks to see the entire process and they help clarify participants' interactions with other providers.</w:t>
      </w:r>
    </w:p>
    <w:p w14:paraId="278D6E60" w14:textId="77777777" w:rsidR="00AC1922" w:rsidRPr="00AC1922" w:rsidRDefault="00AC1922" w:rsidP="00AC1922">
      <w:pPr>
        <w:numPr>
          <w:ilvl w:val="0"/>
          <w:numId w:val="13"/>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Prompt new thinking about how to better prepare patients for discharge.</w:t>
      </w:r>
    </w:p>
    <w:p w14:paraId="77D022C0"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Your goal should be to map the entire discharge process at your hospital.</w:t>
      </w:r>
      <w:hyperlink r:id="rId33" w:anchor="ref13" w:history="1">
        <w:r w:rsidRPr="00AC1922">
          <w:rPr>
            <w:rFonts w:ascii="Source Sans Pro" w:eastAsia="Times New Roman" w:hAnsi="Source Sans Pro" w:cs="Times New Roman"/>
            <w:color w:val="005B94"/>
            <w:kern w:val="0"/>
            <w:sz w:val="19"/>
            <w:szCs w:val="19"/>
            <w:u w:val="single"/>
            <w:vertAlign w:val="superscript"/>
            <w14:ligatures w14:val="none"/>
          </w:rPr>
          <w:t>13-18</w:t>
        </w:r>
      </w:hyperlink>
      <w:r w:rsidRPr="00AC1922">
        <w:rPr>
          <w:rFonts w:ascii="Source Sans Pro" w:eastAsia="Times New Roman" w:hAnsi="Source Sans Pro" w:cs="Times New Roman"/>
          <w:kern w:val="0"/>
          <w:sz w:val="26"/>
          <w:szCs w:val="26"/>
          <w14:ligatures w14:val="none"/>
        </w:rPr>
        <w:t> It may be helpful to create a graphic of your process map on poster-sized paper to review with residents, nurses, and ancillary staff, and then revise it based on their feedback. Your map will:</w:t>
      </w:r>
    </w:p>
    <w:p w14:paraId="06D223B4" w14:textId="77777777" w:rsidR="00AC1922" w:rsidRPr="00AC1922" w:rsidRDefault="00AC1922" w:rsidP="00AC1922">
      <w:pPr>
        <w:numPr>
          <w:ilvl w:val="0"/>
          <w:numId w:val="14"/>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List all people involved in a patient's discharge.</w:t>
      </w:r>
    </w:p>
    <w:p w14:paraId="46B05EEC" w14:textId="77777777" w:rsidR="00AC1922" w:rsidRPr="00AC1922" w:rsidRDefault="00AC1922" w:rsidP="00AC1922">
      <w:pPr>
        <w:numPr>
          <w:ilvl w:val="0"/>
          <w:numId w:val="14"/>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Show how it works on weekends and after hours.</w:t>
      </w:r>
    </w:p>
    <w:p w14:paraId="773655DA" w14:textId="77777777" w:rsidR="00AC1922" w:rsidRPr="00AC1922" w:rsidRDefault="00AC1922" w:rsidP="00AC1922">
      <w:pPr>
        <w:numPr>
          <w:ilvl w:val="0"/>
          <w:numId w:val="14"/>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Reveal how it varies on different services and units.</w:t>
      </w:r>
    </w:p>
    <w:p w14:paraId="7A888F64"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Make sure that your map reflects the current reality of how the discharge process actually works, not how it is supposed to work. You should use an iterative group process to develop the process map, explore the pros and cons of all elements of your discharge process, and investigate what works, what does not, and how the process can be improved.</w:t>
      </w:r>
    </w:p>
    <w:p w14:paraId="63F1F1A0"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It is important to be sure your process map is clearly understood. An example of a clear format is the American Society of Mechanical Engineers'</w:t>
      </w:r>
      <w:hyperlink r:id="rId34" w:anchor="ref19" w:history="1">
        <w:r w:rsidRPr="00AC1922">
          <w:rPr>
            <w:rFonts w:ascii="Source Sans Pro" w:eastAsia="Times New Roman" w:hAnsi="Source Sans Pro" w:cs="Times New Roman"/>
            <w:color w:val="005B94"/>
            <w:kern w:val="0"/>
            <w:sz w:val="19"/>
            <w:szCs w:val="19"/>
            <w:u w:val="single"/>
            <w:vertAlign w:val="superscript"/>
            <w14:ligatures w14:val="none"/>
          </w:rPr>
          <w:t>19</w:t>
        </w:r>
      </w:hyperlink>
      <w:r w:rsidRPr="00AC1922">
        <w:rPr>
          <w:rFonts w:ascii="Source Sans Pro" w:eastAsia="Times New Roman" w:hAnsi="Source Sans Pro" w:cs="Times New Roman"/>
          <w:kern w:val="0"/>
          <w:sz w:val="26"/>
          <w:szCs w:val="26"/>
          <w14:ligatures w14:val="none"/>
        </w:rPr>
        <w:t> mapping standard that is widely used in manufacturing and increasingly popular in office and service environments.</w:t>
      </w:r>
    </w:p>
    <w:p w14:paraId="53CF8288"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8" w:name="Step6"/>
      <w:r w:rsidRPr="00AC1922">
        <w:rPr>
          <w:rFonts w:ascii="Source Sans Pro" w:eastAsia="Times New Roman" w:hAnsi="Source Sans Pro" w:cs="Times New Roman"/>
          <w:kern w:val="0"/>
          <w:sz w:val="26"/>
          <w:szCs w:val="26"/>
          <w14:ligatures w14:val="none"/>
        </w:rPr>
        <w:t> </w:t>
      </w:r>
      <w:bookmarkEnd w:id="8"/>
    </w:p>
    <w:p w14:paraId="5ACF7B77"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6: Revise Current Discharge Workflow To Eliminate Duplication</w:t>
      </w:r>
    </w:p>
    <w:p w14:paraId="64C058D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RED is not an add-on to your current discharge process. It is a new way of discharging patients that requires you to stop discharging patients the old way. Use your process map to identify elements that are duplicative with RED processes early in your planning. To eliminate redundancy:</w:t>
      </w:r>
    </w:p>
    <w:p w14:paraId="421C7344" w14:textId="77777777" w:rsidR="00AC1922" w:rsidRPr="00AC1922" w:rsidRDefault="00AC1922" w:rsidP="00AC1922">
      <w:pPr>
        <w:numPr>
          <w:ilvl w:val="0"/>
          <w:numId w:val="15"/>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Compare the elements of the RED to the elements of your current discharge process to identify areas of overlap and eliminate the elements of the old process that duplicate the RED process.</w:t>
      </w:r>
    </w:p>
    <w:p w14:paraId="587EBEA9" w14:textId="77777777" w:rsidR="00AC1922" w:rsidRPr="00AC1922" w:rsidRDefault="00AC1922" w:rsidP="00AC1922">
      <w:pPr>
        <w:numPr>
          <w:ilvl w:val="0"/>
          <w:numId w:val="15"/>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Identify regulatory items (e.g., Joint Commission requirements) that you currently include in your discharge process that are not included in the RED and integrate them into the new RED processes.</w:t>
      </w:r>
    </w:p>
    <w:p w14:paraId="116533C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It will be necessary to bring together nurses, case managers, social workers, and hospital administrators who know the regulatory requirements.</w:t>
      </w:r>
    </w:p>
    <w:p w14:paraId="727F7590"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This group can start by creating a spreadsheet of RED processes, current discharge processes, and regulatory requirements. It may be necessary to work with the legal department and medical records department or the committees responsible for modifying the official hospital medical record. Then the group will develop a plan to eliminate the old discharge process, while ensuring the RED process includes all necessary regulatory elements.</w:t>
      </w:r>
    </w:p>
    <w:p w14:paraId="1ECDF838"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9" w:name="Step7"/>
      <w:r w:rsidRPr="00AC1922">
        <w:rPr>
          <w:rFonts w:ascii="Source Sans Pro" w:eastAsia="Times New Roman" w:hAnsi="Source Sans Pro" w:cs="Times New Roman"/>
          <w:kern w:val="0"/>
          <w:sz w:val="26"/>
          <w:szCs w:val="26"/>
          <w14:ligatures w14:val="none"/>
        </w:rPr>
        <w:t> </w:t>
      </w:r>
      <w:bookmarkEnd w:id="9"/>
    </w:p>
    <w:p w14:paraId="5EB84D31"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7: Assign Responsibility for RED Components</w:t>
      </w:r>
    </w:p>
    <w:p w14:paraId="5F762A4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You will need to think about how to integrate the RED's components into current processes. In the clinical studies of the RED at Boston University Medical Center, the RED components, except the followup phone call that was conducted by a pharmacist, were all done by the same person, called a "</w:t>
      </w:r>
      <w:r w:rsidRPr="00AC1922">
        <w:rPr>
          <w:rFonts w:ascii="Source Sans Pro" w:eastAsia="Times New Roman" w:hAnsi="Source Sans Pro" w:cs="Times New Roman"/>
          <w:i/>
          <w:iCs/>
          <w:kern w:val="0"/>
          <w:sz w:val="26"/>
          <w:szCs w:val="26"/>
          <w14:ligatures w14:val="none"/>
        </w:rPr>
        <w:t>discharge educator</w:t>
      </w:r>
      <w:r w:rsidRPr="00AC1922">
        <w:rPr>
          <w:rFonts w:ascii="Source Sans Pro" w:eastAsia="Times New Roman" w:hAnsi="Source Sans Pro" w:cs="Times New Roman"/>
          <w:kern w:val="0"/>
          <w:sz w:val="26"/>
          <w:szCs w:val="26"/>
          <w14:ligatures w14:val="none"/>
        </w:rPr>
        <w:t>" or "</w:t>
      </w:r>
      <w:r w:rsidRPr="00AC1922">
        <w:rPr>
          <w:rFonts w:ascii="Source Sans Pro" w:eastAsia="Times New Roman" w:hAnsi="Source Sans Pro" w:cs="Times New Roman"/>
          <w:i/>
          <w:iCs/>
          <w:kern w:val="0"/>
          <w:sz w:val="26"/>
          <w:szCs w:val="26"/>
          <w14:ligatures w14:val="none"/>
        </w:rPr>
        <w:t>DE.</w:t>
      </w:r>
      <w:r w:rsidRPr="00AC1922">
        <w:rPr>
          <w:rFonts w:ascii="Source Sans Pro" w:eastAsia="Times New Roman" w:hAnsi="Source Sans Pro" w:cs="Times New Roman"/>
          <w:kern w:val="0"/>
          <w:sz w:val="26"/>
          <w:szCs w:val="26"/>
          <w14:ligatures w14:val="none"/>
        </w:rPr>
        <w:t>" The DE was a registered nurse hired specifically to implement the RED. You will have to make several decisions regarding staffing the RED.</w:t>
      </w:r>
    </w:p>
    <w:p w14:paraId="534047E5" w14:textId="77777777" w:rsidR="00AC1922" w:rsidRPr="00AC1922" w:rsidRDefault="00AC1922" w:rsidP="00AC1922">
      <w:pPr>
        <w:spacing w:after="100" w:afterAutospacing="1" w:line="312" w:lineRule="atLeast"/>
        <w:outlineLvl w:val="4"/>
        <w:rPr>
          <w:rFonts w:ascii="Arial" w:eastAsia="Times New Roman" w:hAnsi="Arial" w:cs="Arial"/>
          <w:b/>
          <w:bCs/>
          <w:kern w:val="0"/>
          <w:sz w:val="26"/>
          <w:szCs w:val="26"/>
          <w14:ligatures w14:val="none"/>
        </w:rPr>
      </w:pPr>
      <w:r w:rsidRPr="00AC1922">
        <w:rPr>
          <w:rFonts w:ascii="Arial" w:eastAsia="Times New Roman" w:hAnsi="Arial" w:cs="Arial"/>
          <w:b/>
          <w:bCs/>
          <w:kern w:val="0"/>
          <w:sz w:val="26"/>
          <w:szCs w:val="26"/>
          <w14:ligatures w14:val="none"/>
        </w:rPr>
        <w:t>Should You Hire a New Staff Person?</w:t>
      </w:r>
    </w:p>
    <w:p w14:paraId="64130A2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There are advantages to hiring personnel whose sole job is to prepare patients for discharge. It ensures that RED responsibilities will not be neglected in the face of competing demands and that other important hospital work will not be given short shrift to make time for RED activities. This, however, requires the hospital to find funding for these positions. Furthermore, you will need to pay close attention to how these new staff members are integrated into the hospital.</w:t>
      </w:r>
    </w:p>
    <w:p w14:paraId="497A9FC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If you choose to hire new staff, you will need to decide what qualifications those individuals should have. Some RED components require a clinical background, which suggests hiring a nurse, pharmacist, physician's assistant, or other clinician. On the other hand, some RED components require organizational skills that might be better suited to those with a social work background.</w:t>
      </w:r>
    </w:p>
    <w:p w14:paraId="0050E5B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Should You Use Existing Staff?</w:t>
      </w:r>
    </w:p>
    <w:p w14:paraId="3A8A904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Several hospitals have implemented the RED without hiring new staff. A variety of hospital staff could perform the RED, but there are pros and cons to each choice.</w:t>
      </w:r>
    </w:p>
    <w:p w14:paraId="70CEB17D" w14:textId="77777777" w:rsidR="00AC1922" w:rsidRPr="00AC1922" w:rsidRDefault="00AC1922" w:rsidP="00AC1922">
      <w:pPr>
        <w:numPr>
          <w:ilvl w:val="0"/>
          <w:numId w:val="16"/>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The staff nurse caring for the patient being discharged</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Pros:</w:t>
      </w:r>
      <w:r w:rsidRPr="00AC1922">
        <w:rPr>
          <w:rFonts w:ascii="Source Sans Pro" w:eastAsia="Times New Roman" w:hAnsi="Source Sans Pro" w:cs="Times New Roman"/>
          <w:kern w:val="0"/>
          <w:sz w:val="26"/>
          <w:szCs w:val="26"/>
          <w14:ligatures w14:val="none"/>
        </w:rPr>
        <w:t> Has clinical expertise, knows the patient and the care plan, may already be responsible for aspects of medicine reconciliation, and often can efficiently organize the discharge plan.</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Cons:</w:t>
      </w:r>
      <w:r w:rsidRPr="00AC1922">
        <w:rPr>
          <w:rFonts w:ascii="Source Sans Pro" w:eastAsia="Times New Roman" w:hAnsi="Source Sans Pro" w:cs="Times New Roman"/>
          <w:kern w:val="0"/>
          <w:sz w:val="26"/>
          <w:szCs w:val="26"/>
          <w14:ligatures w14:val="none"/>
        </w:rPr>
        <w:t> Is busy with routine patient care duties and responsibilities. Modification to current responsibilities is required. Furthermore, many nurses work a 3-day week, which requires systems to be set up to ensure smooth handoffs.</w:t>
      </w:r>
      <w:r w:rsidRPr="00AC1922">
        <w:rPr>
          <w:rFonts w:ascii="Source Sans Pro" w:eastAsia="Times New Roman" w:hAnsi="Source Sans Pro" w:cs="Times New Roman"/>
          <w:kern w:val="0"/>
          <w:sz w:val="26"/>
          <w:szCs w:val="26"/>
          <w14:ligatures w14:val="none"/>
        </w:rPr>
        <w:br/>
        <w:t> </w:t>
      </w:r>
    </w:p>
    <w:p w14:paraId="447BF6A1" w14:textId="77777777" w:rsidR="00AC1922" w:rsidRPr="00AC1922" w:rsidRDefault="00AC1922" w:rsidP="00AC1922">
      <w:pPr>
        <w:numPr>
          <w:ilvl w:val="0"/>
          <w:numId w:val="16"/>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Case managers or nurses from the patient's health plan or insurers</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Pros:</w:t>
      </w:r>
      <w:r w:rsidRPr="00AC1922">
        <w:rPr>
          <w:rFonts w:ascii="Source Sans Pro" w:eastAsia="Times New Roman" w:hAnsi="Source Sans Pro" w:cs="Times New Roman"/>
          <w:kern w:val="0"/>
          <w:sz w:val="26"/>
          <w:szCs w:val="26"/>
          <w14:ligatures w14:val="none"/>
        </w:rPr>
        <w:t> Reduces work burden to existing staff and hospital does not have to pay.</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Cons:</w:t>
      </w:r>
      <w:r w:rsidRPr="00AC1922">
        <w:rPr>
          <w:rFonts w:ascii="Source Sans Pro" w:eastAsia="Times New Roman" w:hAnsi="Source Sans Pro" w:cs="Times New Roman"/>
          <w:kern w:val="0"/>
          <w:sz w:val="26"/>
          <w:szCs w:val="26"/>
          <w14:ligatures w14:val="none"/>
        </w:rPr>
        <w:t> Hospital has no control over external staff and cannot ensure that work gets performed. Coordination may be difficult, requiring a clear delineation of responsibilities and communication protocols. Discharge summary and the discharge plan would have to be transmitted in real time.</w:t>
      </w:r>
      <w:r w:rsidRPr="00AC1922">
        <w:rPr>
          <w:rFonts w:ascii="Source Sans Pro" w:eastAsia="Times New Roman" w:hAnsi="Source Sans Pro" w:cs="Times New Roman"/>
          <w:kern w:val="0"/>
          <w:sz w:val="26"/>
          <w:szCs w:val="26"/>
          <w14:ligatures w14:val="none"/>
        </w:rPr>
        <w:br/>
        <w:t> </w:t>
      </w:r>
    </w:p>
    <w:p w14:paraId="62B15FD1" w14:textId="77777777" w:rsidR="00AC1922" w:rsidRPr="00AC1922" w:rsidRDefault="00AC1922" w:rsidP="00AC1922">
      <w:pPr>
        <w:numPr>
          <w:ilvl w:val="0"/>
          <w:numId w:val="16"/>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Discharge planners or social work staff</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Pros:</w:t>
      </w:r>
      <w:r w:rsidRPr="00AC1922">
        <w:rPr>
          <w:rFonts w:ascii="Source Sans Pro" w:eastAsia="Times New Roman" w:hAnsi="Source Sans Pro" w:cs="Times New Roman"/>
          <w:kern w:val="0"/>
          <w:sz w:val="26"/>
          <w:szCs w:val="26"/>
          <w14:ligatures w14:val="none"/>
        </w:rPr>
        <w:t> Skilled in coordinating postdischarge services.</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Cons:</w:t>
      </w:r>
      <w:r w:rsidRPr="00AC1922">
        <w:rPr>
          <w:rFonts w:ascii="Source Sans Pro" w:eastAsia="Times New Roman" w:hAnsi="Source Sans Pro" w:cs="Times New Roman"/>
          <w:kern w:val="0"/>
          <w:sz w:val="26"/>
          <w:szCs w:val="26"/>
          <w14:ligatures w14:val="none"/>
        </w:rPr>
        <w:t> Lack clinical skills that are necessary for some components.</w:t>
      </w:r>
      <w:r w:rsidRPr="00AC1922">
        <w:rPr>
          <w:rFonts w:ascii="Source Sans Pro" w:eastAsia="Times New Roman" w:hAnsi="Source Sans Pro" w:cs="Times New Roman"/>
          <w:kern w:val="0"/>
          <w:sz w:val="26"/>
          <w:szCs w:val="26"/>
          <w14:ligatures w14:val="none"/>
        </w:rPr>
        <w:br/>
        <w:t> </w:t>
      </w:r>
    </w:p>
    <w:p w14:paraId="49B5D341" w14:textId="77777777" w:rsidR="00AC1922" w:rsidRPr="00AC1922" w:rsidRDefault="00AC1922" w:rsidP="00AC1922">
      <w:pPr>
        <w:numPr>
          <w:ilvl w:val="0"/>
          <w:numId w:val="16"/>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lastRenderedPageBreak/>
        <w:t>The resident house staff (if you are in a teaching hospital)</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Pros:</w:t>
      </w:r>
      <w:r w:rsidRPr="00AC1922">
        <w:rPr>
          <w:rFonts w:ascii="Source Sans Pro" w:eastAsia="Times New Roman" w:hAnsi="Source Sans Pro" w:cs="Times New Roman"/>
          <w:kern w:val="0"/>
          <w:sz w:val="26"/>
          <w:szCs w:val="26"/>
          <w14:ligatures w14:val="none"/>
        </w:rPr>
        <w:t> Has clinical expertise, knows the patient and the care plan, and often can efficiently organize the discharge plan. Educates new doctors on safe, effective discharge processes.</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Cons:</w:t>
      </w:r>
      <w:r w:rsidRPr="00AC1922">
        <w:rPr>
          <w:rFonts w:ascii="Source Sans Pro" w:eastAsia="Times New Roman" w:hAnsi="Source Sans Pro" w:cs="Times New Roman"/>
          <w:kern w:val="0"/>
          <w:sz w:val="26"/>
          <w:szCs w:val="26"/>
          <w14:ligatures w14:val="none"/>
        </w:rPr>
        <w:t> Turnover requires continual retraining and oversight. Not available in nonteaching hospitals.</w:t>
      </w:r>
      <w:r w:rsidRPr="00AC1922">
        <w:rPr>
          <w:rFonts w:ascii="Source Sans Pro" w:eastAsia="Times New Roman" w:hAnsi="Source Sans Pro" w:cs="Times New Roman"/>
          <w:kern w:val="0"/>
          <w:sz w:val="26"/>
          <w:szCs w:val="26"/>
          <w14:ligatures w14:val="none"/>
        </w:rPr>
        <w:br/>
        <w:t> </w:t>
      </w:r>
    </w:p>
    <w:p w14:paraId="5F7647E4" w14:textId="77777777" w:rsidR="00AC1922" w:rsidRPr="00AC1922" w:rsidRDefault="00AC1922" w:rsidP="00AC1922">
      <w:pPr>
        <w:numPr>
          <w:ilvl w:val="0"/>
          <w:numId w:val="16"/>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Pharmacist</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Pros:</w:t>
      </w:r>
      <w:r w:rsidRPr="00AC1922">
        <w:rPr>
          <w:rFonts w:ascii="Source Sans Pro" w:eastAsia="Times New Roman" w:hAnsi="Source Sans Pro" w:cs="Times New Roman"/>
          <w:kern w:val="0"/>
          <w:sz w:val="26"/>
          <w:szCs w:val="26"/>
          <w14:ligatures w14:val="none"/>
        </w:rPr>
        <w:t> Has clinical expertise. Evidence base for the RED process is based on a clinical pharmacist (PharmD) conducting postdischarge followup call.</w:t>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kern w:val="0"/>
          <w:sz w:val="26"/>
          <w:szCs w:val="26"/>
          <w14:ligatures w14:val="none"/>
        </w:rPr>
        <w:br/>
      </w:r>
      <w:r w:rsidRPr="00AC1922">
        <w:rPr>
          <w:rFonts w:ascii="Source Sans Pro" w:eastAsia="Times New Roman" w:hAnsi="Source Sans Pro" w:cs="Times New Roman"/>
          <w:b/>
          <w:bCs/>
          <w:kern w:val="0"/>
          <w:sz w:val="26"/>
          <w:szCs w:val="26"/>
          <w14:ligatures w14:val="none"/>
        </w:rPr>
        <w:t>Cons:</w:t>
      </w:r>
      <w:r w:rsidRPr="00AC1922">
        <w:rPr>
          <w:rFonts w:ascii="Source Sans Pro" w:eastAsia="Times New Roman" w:hAnsi="Source Sans Pro" w:cs="Times New Roman"/>
          <w:kern w:val="0"/>
          <w:sz w:val="26"/>
          <w:szCs w:val="26"/>
          <w14:ligatures w14:val="none"/>
        </w:rPr>
        <w:t> Is busy with pharmacy responsibilities. Modification to current responsibilities is required.</w:t>
      </w:r>
    </w:p>
    <w:p w14:paraId="57B0E984"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Should One Person Deliver All RED Components?</w:t>
      </w:r>
    </w:p>
    <w:p w14:paraId="38FB582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These duties, however, do not all have to be performed by the same person. It is possible to have one person perform some of the RED components, supplementing with additional staff for other components. For example, social workers could schedule followup appointments, organize postdischarge appointments and equipment, and engage social supports, while medically trained personnel conduct more clinical tasks, such as medication reconciliation and teaching how to take medicines and recognize side effects. Responsibilities can be split whether you are hiring new staff or using existing staff.</w:t>
      </w:r>
    </w:p>
    <w:p w14:paraId="1D728D6B"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Ultimately, the staff you choose will depend on the number of patients you target, the willingness of current staff to provide a new service, the details of the business case between your hospitals and insurers, and the return on investment that you anticipate from implementing the RED. No matter which strategy you choose, staff must be provided with adequate time to carry out these new activities and there must be good communication among staff members.</w:t>
      </w:r>
    </w:p>
    <w:p w14:paraId="4EA7F7E5"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Completing </w:t>
      </w:r>
      <w:hyperlink r:id="rId35" w:anchor="tab1" w:history="1">
        <w:r w:rsidRPr="00AC1922">
          <w:rPr>
            <w:rFonts w:ascii="Source Sans Pro" w:eastAsia="Times New Roman" w:hAnsi="Source Sans Pro" w:cs="Times New Roman"/>
            <w:color w:val="005B94"/>
            <w:kern w:val="0"/>
            <w:sz w:val="26"/>
            <w:szCs w:val="26"/>
            <w:u w:val="single"/>
            <w14:ligatures w14:val="none"/>
          </w:rPr>
          <w:t>Table 1</w:t>
        </w:r>
      </w:hyperlink>
      <w:r w:rsidRPr="00AC1922">
        <w:rPr>
          <w:rFonts w:ascii="Source Sans Pro" w:eastAsia="Times New Roman" w:hAnsi="Source Sans Pro" w:cs="Times New Roman"/>
          <w:kern w:val="0"/>
          <w:sz w:val="26"/>
          <w:szCs w:val="26"/>
          <w14:ligatures w14:val="none"/>
        </w:rPr>
        <w:t> below will assist you in thinking about how each component will be addressed.</w:t>
      </w:r>
    </w:p>
    <w:p w14:paraId="1CDDE49C"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10" w:name="tab1"/>
      <w:r w:rsidRPr="00AC1922">
        <w:rPr>
          <w:rFonts w:ascii="Source Sans Pro" w:eastAsia="Times New Roman" w:hAnsi="Source Sans Pro" w:cs="Times New Roman"/>
          <w:kern w:val="0"/>
          <w:sz w:val="26"/>
          <w:szCs w:val="26"/>
          <w14:ligatures w14:val="none"/>
        </w:rPr>
        <w:lastRenderedPageBreak/>
        <w:t> </w:t>
      </w:r>
      <w:bookmarkEnd w:id="10"/>
    </w:p>
    <w:p w14:paraId="0797F50A"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Table 1. RED Staff Assignment Planning Chart</w:t>
      </w:r>
    </w:p>
    <w:tbl>
      <w:tblPr>
        <w:tblW w:w="4500" w:type="pct"/>
        <w:tblCellMar>
          <w:top w:w="60" w:type="dxa"/>
          <w:left w:w="60" w:type="dxa"/>
          <w:bottom w:w="60" w:type="dxa"/>
          <w:right w:w="60" w:type="dxa"/>
        </w:tblCellMar>
        <w:tblLook w:val="04A0" w:firstRow="1" w:lastRow="0" w:firstColumn="1" w:lastColumn="0" w:noHBand="0" w:noVBand="1"/>
      </w:tblPr>
      <w:tblGrid>
        <w:gridCol w:w="5046"/>
        <w:gridCol w:w="3364"/>
      </w:tblGrid>
      <w:tr w:rsidR="00AC1922" w:rsidRPr="00AC1922" w14:paraId="001A574C" w14:textId="77777777">
        <w:tc>
          <w:tcPr>
            <w:tcW w:w="0" w:type="auto"/>
            <w:tcBorders>
              <w:top w:val="single" w:sz="6" w:space="0" w:color="000000"/>
              <w:left w:val="single" w:sz="6" w:space="0" w:color="000000"/>
              <w:bottom w:val="nil"/>
              <w:right w:val="single" w:sz="6" w:space="0" w:color="000000"/>
            </w:tcBorders>
            <w:shd w:val="clear" w:color="auto" w:fill="E0EBF2"/>
            <w:tcMar>
              <w:top w:w="60" w:type="dxa"/>
              <w:left w:w="135" w:type="dxa"/>
              <w:bottom w:w="60" w:type="dxa"/>
              <w:right w:w="135" w:type="dxa"/>
            </w:tcMar>
            <w:hideMark/>
          </w:tcPr>
          <w:p w14:paraId="6BA0353B" w14:textId="77777777" w:rsidR="00AC1922" w:rsidRPr="00AC1922" w:rsidRDefault="00AC1922" w:rsidP="00AC1922">
            <w:pPr>
              <w:spacing w:before="150" w:after="450" w:line="240" w:lineRule="auto"/>
              <w:rPr>
                <w:rFonts w:ascii="Times New Roman" w:eastAsia="Times New Roman" w:hAnsi="Times New Roman" w:cs="Times New Roman"/>
                <w:b/>
                <w:bCs/>
                <w:color w:val="000000"/>
                <w:kern w:val="0"/>
                <w14:ligatures w14:val="none"/>
              </w:rPr>
            </w:pPr>
            <w:r w:rsidRPr="00AC1922">
              <w:rPr>
                <w:rFonts w:ascii="Times New Roman" w:eastAsia="Times New Roman" w:hAnsi="Times New Roman" w:cs="Times New Roman"/>
                <w:b/>
                <w:bCs/>
                <w:color w:val="000000"/>
                <w:kern w:val="0"/>
                <w14:ligatures w14:val="none"/>
              </w:rPr>
              <w:t>RED Component</w:t>
            </w:r>
          </w:p>
        </w:tc>
        <w:tc>
          <w:tcPr>
            <w:tcW w:w="2000" w:type="pct"/>
            <w:tcBorders>
              <w:top w:val="single" w:sz="6" w:space="0" w:color="000000"/>
              <w:left w:val="single" w:sz="6" w:space="0" w:color="000000"/>
              <w:bottom w:val="nil"/>
              <w:right w:val="single" w:sz="6" w:space="0" w:color="000000"/>
            </w:tcBorders>
            <w:shd w:val="clear" w:color="auto" w:fill="E0EBF2"/>
            <w:tcMar>
              <w:top w:w="60" w:type="dxa"/>
              <w:left w:w="135" w:type="dxa"/>
              <w:bottom w:w="60" w:type="dxa"/>
              <w:right w:w="135" w:type="dxa"/>
            </w:tcMar>
            <w:hideMark/>
          </w:tcPr>
          <w:p w14:paraId="7C2705E7" w14:textId="77777777" w:rsidR="00AC1922" w:rsidRPr="00AC1922" w:rsidRDefault="00AC1922" w:rsidP="00AC1922">
            <w:pPr>
              <w:spacing w:before="150" w:after="450" w:line="240" w:lineRule="auto"/>
              <w:rPr>
                <w:rFonts w:ascii="Times New Roman" w:eastAsia="Times New Roman" w:hAnsi="Times New Roman" w:cs="Times New Roman"/>
                <w:b/>
                <w:bCs/>
                <w:color w:val="000000"/>
                <w:kern w:val="0"/>
                <w14:ligatures w14:val="none"/>
              </w:rPr>
            </w:pPr>
            <w:r w:rsidRPr="00AC1922">
              <w:rPr>
                <w:rFonts w:ascii="Times New Roman" w:eastAsia="Times New Roman" w:hAnsi="Times New Roman" w:cs="Times New Roman"/>
                <w:b/>
                <w:bCs/>
                <w:color w:val="000000"/>
                <w:kern w:val="0"/>
                <w14:ligatures w14:val="none"/>
              </w:rPr>
              <w:t>Person Responsible</w:t>
            </w:r>
          </w:p>
        </w:tc>
      </w:tr>
      <w:tr w:rsidR="00AC1922" w:rsidRPr="00AC1922" w14:paraId="5D8976FC"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0D93B323"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1. Ascertain need for and obtain language assistance.</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64C05DA"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7066516A"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DA67816"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2. Make appointments for followup care (e.g., medical appointments and postdischarge tests/labs).</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659DC53"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7018AD88"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04E33B0"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3. Plan for the followup of results from lab tests or labs that are pending at discharge.</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321BB3B"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6D5760CD"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DC63835"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4. Organize postdischarge outpatient services and medical equipment.</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867488F"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501791FE"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C2983EB"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5. Identify the correct medicines and a plan for the patient to obtain them.</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6FB6BA57"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47ECF415"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34896D0"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6. Reconcile the discharge plan with national guidelines.</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02CE85BA"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1B189387"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685C965B"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7. Teach a written discharge plan the patient can understand.</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30111E7"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0BB5F4C2"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18E055E5"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8. Educate the patient about his or her diagnosis and medicines.</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14C0057"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733E1BAA"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5E7B6036"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lastRenderedPageBreak/>
              <w:t>9. Review with the patient what to do if a problem arises.</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E26D820"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2B56420F"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0B83302"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10. Assess the degree of the patient's understanding of the discharge plan.</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5899CEF"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7DB59528"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7310CFF"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11. Expedite transmission of the discharge summary to clinicians accepting care of the patient.</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1FCC5A6C"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r w:rsidR="00AC1922" w:rsidRPr="00AC1922" w14:paraId="54B3345F"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A281B04"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12. Provide telephone reinforcement of the discharge plan.</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FA1291E" w14:textId="77777777" w:rsidR="00AC1922" w:rsidRPr="00AC1922" w:rsidRDefault="00AC1922" w:rsidP="00AC1922">
            <w:pPr>
              <w:spacing w:before="150" w:after="450" w:line="240" w:lineRule="auto"/>
              <w:rPr>
                <w:rFonts w:ascii="Times New Roman" w:eastAsia="Times New Roman" w:hAnsi="Times New Roman" w:cs="Times New Roman"/>
                <w:kern w:val="0"/>
                <w14:ligatures w14:val="none"/>
              </w:rPr>
            </w:pPr>
            <w:r w:rsidRPr="00AC1922">
              <w:rPr>
                <w:rFonts w:ascii="Times New Roman" w:eastAsia="Times New Roman" w:hAnsi="Times New Roman" w:cs="Times New Roman"/>
                <w:kern w:val="0"/>
                <w14:ligatures w14:val="none"/>
              </w:rPr>
              <w:t> </w:t>
            </w:r>
          </w:p>
        </w:tc>
      </w:tr>
    </w:tbl>
    <w:p w14:paraId="79ECFD7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11" w:name="Step8"/>
      <w:r w:rsidRPr="00AC1922">
        <w:rPr>
          <w:rFonts w:ascii="Source Sans Pro" w:eastAsia="Times New Roman" w:hAnsi="Source Sans Pro" w:cs="Times New Roman"/>
          <w:kern w:val="0"/>
          <w:sz w:val="26"/>
          <w:szCs w:val="26"/>
          <w14:ligatures w14:val="none"/>
        </w:rPr>
        <w:t> </w:t>
      </w:r>
      <w:bookmarkEnd w:id="11"/>
    </w:p>
    <w:p w14:paraId="13C5DAF0"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8: Train Discharge Educators and Followup Telephone Callers</w:t>
      </w:r>
    </w:p>
    <w:p w14:paraId="286CEEF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There are several options for providing training to your DEs and callers:</w:t>
      </w:r>
    </w:p>
    <w:p w14:paraId="761797DF" w14:textId="77777777" w:rsidR="00AC1922" w:rsidRPr="00AC1922" w:rsidRDefault="00AC1922" w:rsidP="00AC1922">
      <w:pPr>
        <w:numPr>
          <w:ilvl w:val="0"/>
          <w:numId w:val="1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Read this toolkit. The DEs and their supervisors could read this toolkit and review its contents in a group session.</w:t>
      </w:r>
    </w:p>
    <w:p w14:paraId="022A3DAD" w14:textId="77777777" w:rsidR="00AC1922" w:rsidRPr="00AC1922" w:rsidRDefault="00AC1922" w:rsidP="00AC1922">
      <w:pPr>
        <w:numPr>
          <w:ilvl w:val="0"/>
          <w:numId w:val="1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Train-the-trainer. Training could be accomplished either as a series of inservice sessions or using the "train-the-trainer" technique where a set of key nurses (perhaps one or two from each unit or a "master trainer") could be trained at another hospital already using the RED.</w:t>
      </w:r>
    </w:p>
    <w:p w14:paraId="298CCC79" w14:textId="77777777" w:rsidR="00AC1922" w:rsidRPr="00AC1922" w:rsidRDefault="00AC1922" w:rsidP="00AC1922">
      <w:pPr>
        <w:numPr>
          <w:ilvl w:val="0"/>
          <w:numId w:val="17"/>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A 1-day training course. The </w:t>
      </w:r>
      <w:hyperlink r:id="rId36" w:history="1">
        <w:r w:rsidRPr="00AC1922">
          <w:rPr>
            <w:rFonts w:ascii="Source Sans Pro" w:eastAsia="Times New Roman" w:hAnsi="Source Sans Pro" w:cs="Times New Roman"/>
            <w:color w:val="005B94"/>
            <w:kern w:val="0"/>
            <w:sz w:val="26"/>
            <w:szCs w:val="26"/>
            <w:u w:val="single"/>
            <w14:ligatures w14:val="none"/>
          </w:rPr>
          <w:t>Sample Training Agenda</w:t>
        </w:r>
      </w:hyperlink>
      <w:r w:rsidRPr="00AC1922">
        <w:rPr>
          <w:rFonts w:ascii="Source Sans Pro" w:eastAsia="Times New Roman" w:hAnsi="Source Sans Pro" w:cs="Times New Roman"/>
          <w:kern w:val="0"/>
          <w:sz w:val="26"/>
          <w:szCs w:val="26"/>
          <w14:ligatures w14:val="none"/>
        </w:rPr>
        <w:t> contains an example of an agenda for a 1-day training that would take place at your hospital. This course is organized so that the first 2 hours are for senior leaders and the implementation team, and the remainder of the day is for the implementation team only. The course includes various role plays and interactive exercises to help the hospital identify how it will carry out each of the key functions.</w:t>
      </w:r>
    </w:p>
    <w:p w14:paraId="198D0166"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lastRenderedPageBreak/>
        <w:t>In addition to training on the RED, effective DEs and callers should be trained on health literacy communication strategies, teamwork, cultural competence, use of interpretation services, and adult learning theory.</w:t>
      </w:r>
    </w:p>
    <w:p w14:paraId="517B5C74"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12" w:name="Step9"/>
      <w:r w:rsidRPr="00AC1922">
        <w:rPr>
          <w:rFonts w:ascii="Source Sans Pro" w:eastAsia="Times New Roman" w:hAnsi="Source Sans Pro" w:cs="Times New Roman"/>
          <w:kern w:val="0"/>
          <w:sz w:val="26"/>
          <w:szCs w:val="26"/>
          <w14:ligatures w14:val="none"/>
        </w:rPr>
        <w:t> </w:t>
      </w:r>
      <w:bookmarkEnd w:id="12"/>
    </w:p>
    <w:p w14:paraId="0496A30A"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9: Decide How To Generate the "After Hospital Care Plan"</w:t>
      </w:r>
    </w:p>
    <w:p w14:paraId="21F96265"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The "after hospital care plan" (AHCP) is an essential component of the RED. It is a booklet that presents information for patients that they will need once they leave the hospital. It was designed with the assistance of graphic design and health literacy consultants so that the information is presented in a clear and understandable format, using large fonts, colors, and icons. The AHCP is described in detail in </w:t>
      </w:r>
      <w:hyperlink r:id="rId37" w:history="1">
        <w:r w:rsidRPr="00AC1922">
          <w:rPr>
            <w:rFonts w:ascii="Source Sans Pro" w:eastAsia="Times New Roman" w:hAnsi="Source Sans Pro" w:cs="Times New Roman"/>
            <w:color w:val="005B94"/>
            <w:kern w:val="0"/>
            <w:sz w:val="26"/>
            <w:szCs w:val="26"/>
            <w:u w:val="single"/>
            <w14:ligatures w14:val="none"/>
          </w:rPr>
          <w:t>Tool 3, "How To Deliver the Re-Engineered Discharge at Your Hospital."</w:t>
        </w:r>
      </w:hyperlink>
      <w:r w:rsidRPr="00AC1922">
        <w:rPr>
          <w:rFonts w:ascii="Source Sans Pro" w:eastAsia="Times New Roman" w:hAnsi="Source Sans Pro" w:cs="Times New Roman"/>
          <w:kern w:val="0"/>
          <w:sz w:val="26"/>
          <w:szCs w:val="26"/>
          <w14:ligatures w14:val="none"/>
        </w:rPr>
        <w:t> The AHCP can be created in one of several ways:</w:t>
      </w:r>
    </w:p>
    <w:p w14:paraId="77407329" w14:textId="77777777" w:rsidR="00AC1922" w:rsidRPr="00AC1922" w:rsidRDefault="00AC1922" w:rsidP="00AC1922">
      <w:pPr>
        <w:numPr>
          <w:ilvl w:val="0"/>
          <w:numId w:val="1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Use a word processing program to manually create the AHCP.</w:t>
      </w:r>
      <w:r w:rsidRPr="00AC1922">
        <w:rPr>
          <w:rFonts w:ascii="Source Sans Pro" w:eastAsia="Times New Roman" w:hAnsi="Source Sans Pro" w:cs="Times New Roman"/>
          <w:kern w:val="0"/>
          <w:sz w:val="26"/>
          <w:szCs w:val="26"/>
          <w14:ligatures w14:val="none"/>
        </w:rPr>
        <w:t> This involves using word processing software with a template. This method requires little training and allows the most flexibility in creating an AHCP tailored specifically to each patient. Free text can be added with directions that are specific to that patient. While simple, this method is the most time consuming. Clinical information such as medicines and appointments must be entered manually, which creates an opportunity to introduce errors. We recommend that manually produced AHCPs be thoroughly reviewed twice for correctness before they are taught to patients. You can find a Word® template of the AHCP in </w:t>
      </w:r>
      <w:hyperlink r:id="rId38" w:history="1">
        <w:r w:rsidRPr="00AC1922">
          <w:rPr>
            <w:rFonts w:ascii="Source Sans Pro" w:eastAsia="Times New Roman" w:hAnsi="Source Sans Pro" w:cs="Times New Roman"/>
            <w:color w:val="005B94"/>
            <w:kern w:val="0"/>
            <w:sz w:val="26"/>
            <w:szCs w:val="26"/>
            <w:u w:val="single"/>
            <w14:ligatures w14:val="none"/>
          </w:rPr>
          <w:t>English</w:t>
        </w:r>
      </w:hyperlink>
      <w:r w:rsidRPr="00AC1922">
        <w:rPr>
          <w:rFonts w:ascii="Source Sans Pro" w:eastAsia="Times New Roman" w:hAnsi="Source Sans Pro" w:cs="Times New Roman"/>
          <w:kern w:val="0"/>
          <w:sz w:val="26"/>
          <w:szCs w:val="26"/>
          <w14:ligatures w14:val="none"/>
        </w:rPr>
        <w:t> and </w:t>
      </w:r>
      <w:hyperlink r:id="rId39" w:history="1">
        <w:r w:rsidRPr="00AC1922">
          <w:rPr>
            <w:rFonts w:ascii="Source Sans Pro" w:eastAsia="Times New Roman" w:hAnsi="Source Sans Pro" w:cs="Times New Roman"/>
            <w:color w:val="005B94"/>
            <w:kern w:val="0"/>
            <w:sz w:val="26"/>
            <w:szCs w:val="26"/>
            <w:u w:val="single"/>
            <w14:ligatures w14:val="none"/>
          </w:rPr>
          <w:t>Spanish</w:t>
        </w:r>
      </w:hyperlink>
      <w:r w:rsidRPr="00AC1922">
        <w:rPr>
          <w:rFonts w:ascii="Source Sans Pro" w:eastAsia="Times New Roman" w:hAnsi="Source Sans Pro" w:cs="Times New Roman"/>
          <w:kern w:val="0"/>
          <w:sz w:val="26"/>
          <w:szCs w:val="26"/>
          <w14:ligatures w14:val="none"/>
        </w:rPr>
        <w:t> [</w:t>
      </w:r>
      <w:hyperlink r:id="rId40" w:history="1">
        <w:r w:rsidRPr="00AC1922">
          <w:rPr>
            <w:rFonts w:ascii="Source Sans Pro" w:eastAsia="Times New Roman" w:hAnsi="Source Sans Pro" w:cs="Times New Roman"/>
            <w:color w:val="005B94"/>
            <w:kern w:val="0"/>
            <w:sz w:val="26"/>
            <w:szCs w:val="26"/>
            <w:u w:val="single"/>
            <w14:ligatures w14:val="none"/>
          </w:rPr>
          <w:t>Plugin Software Help</w:t>
        </w:r>
      </w:hyperlink>
      <w:r w:rsidRPr="00AC1922">
        <w:rPr>
          <w:rFonts w:ascii="Source Sans Pro" w:eastAsia="Times New Roman" w:hAnsi="Source Sans Pro" w:cs="Times New Roman"/>
          <w:kern w:val="0"/>
          <w:sz w:val="26"/>
          <w:szCs w:val="26"/>
          <w14:ligatures w14:val="none"/>
        </w:rPr>
        <w:t>].</w:t>
      </w:r>
    </w:p>
    <w:p w14:paraId="7E8EEE1E" w14:textId="77777777" w:rsidR="00AC1922" w:rsidRPr="00AC1922" w:rsidRDefault="00AC1922" w:rsidP="00AC1922">
      <w:pPr>
        <w:numPr>
          <w:ilvl w:val="0"/>
          <w:numId w:val="1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Use self-standing RED Workstation to create the AHCP.</w:t>
      </w:r>
      <w:r w:rsidRPr="00AC1922">
        <w:rPr>
          <w:rFonts w:ascii="Source Sans Pro" w:eastAsia="Times New Roman" w:hAnsi="Source Sans Pro" w:cs="Times New Roman"/>
          <w:kern w:val="0"/>
          <w:sz w:val="26"/>
          <w:szCs w:val="26"/>
          <w14:ligatures w14:val="none"/>
        </w:rPr>
        <w:t> Data for the AHCP are entered into a commercially available self-standing Workstation that creates the AHCP. The software for the Workstation uses drop-down menus to enter key discharge information, saving time and improving accuracy. The formatted AHCP can be reviewed on a computer screen and then printed. The software program formats all the data fields of the AHCP, reduces transcription errors, and saves time.</w:t>
      </w:r>
    </w:p>
    <w:p w14:paraId="4C51E943" w14:textId="77777777" w:rsidR="00AC1922" w:rsidRPr="00AC1922" w:rsidRDefault="00AC1922" w:rsidP="00AC1922">
      <w:pPr>
        <w:numPr>
          <w:ilvl w:val="0"/>
          <w:numId w:val="18"/>
        </w:numPr>
        <w:spacing w:before="45" w:after="165" w:line="312"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b/>
          <w:bCs/>
          <w:kern w:val="0"/>
          <w:sz w:val="26"/>
          <w:szCs w:val="26"/>
          <w14:ligatures w14:val="none"/>
        </w:rPr>
        <w:t>Integrate AHCP production into health information systems.</w:t>
      </w:r>
      <w:r w:rsidRPr="00AC1922">
        <w:rPr>
          <w:rFonts w:ascii="Source Sans Pro" w:eastAsia="Times New Roman" w:hAnsi="Source Sans Pro" w:cs="Times New Roman"/>
          <w:kern w:val="0"/>
          <w:sz w:val="26"/>
          <w:szCs w:val="26"/>
          <w14:ligatures w14:val="none"/>
        </w:rPr>
        <w:t xml:space="preserve"> Populating the AHCP with data already in the hospital's information system improves accuracy and efficiency. This can be done either by importing hospital data into the RED Workstation or by having your IT department program software to create the AHCP directly from the information system. Implementing either option is time </w:t>
      </w:r>
      <w:r w:rsidRPr="00AC1922">
        <w:rPr>
          <w:rFonts w:ascii="Source Sans Pro" w:eastAsia="Times New Roman" w:hAnsi="Source Sans Pro" w:cs="Times New Roman"/>
          <w:kern w:val="0"/>
          <w:sz w:val="26"/>
          <w:szCs w:val="26"/>
          <w14:ligatures w14:val="none"/>
        </w:rPr>
        <w:lastRenderedPageBreak/>
        <w:t>consuming and requires hospital leadership to prioritize the RED program over other IT projects. Once implemented, however, this method of producing the AHCP is the most efficient and accurate.</w:t>
      </w:r>
    </w:p>
    <w:p w14:paraId="7D6E8C9F"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13" w:name="Step10"/>
      <w:r w:rsidRPr="00AC1922">
        <w:rPr>
          <w:rFonts w:ascii="Source Sans Pro" w:eastAsia="Times New Roman" w:hAnsi="Source Sans Pro" w:cs="Times New Roman"/>
          <w:kern w:val="0"/>
          <w:sz w:val="26"/>
          <w:szCs w:val="26"/>
          <w14:ligatures w14:val="none"/>
        </w:rPr>
        <w:t> </w:t>
      </w:r>
      <w:bookmarkEnd w:id="13"/>
    </w:p>
    <w:p w14:paraId="1515B570"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10: Provide the RED for Diverse Populations</w:t>
      </w:r>
    </w:p>
    <w:p w14:paraId="7CDE3EF5"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Even in the absence of language barriers, disparities in health care and outcomes linger among racial and ethnic groups in the United States. Providing discharge education to patients with limited English proficiency, limited health literacy, or non-Western health beliefs and practices presents unique challenges. </w:t>
      </w:r>
      <w:hyperlink r:id="rId41" w:history="1">
        <w:r w:rsidRPr="00AC1922">
          <w:rPr>
            <w:rFonts w:ascii="Source Sans Pro" w:eastAsia="Times New Roman" w:hAnsi="Source Sans Pro" w:cs="Times New Roman"/>
            <w:color w:val="005B94"/>
            <w:kern w:val="0"/>
            <w:sz w:val="26"/>
            <w:szCs w:val="26"/>
            <w:u w:val="single"/>
            <w14:ligatures w14:val="none"/>
          </w:rPr>
          <w:t>Tool 4, "How To Deliver the Re-Engineered Discharge to Diverse Populations,"</w:t>
        </w:r>
      </w:hyperlink>
      <w:r w:rsidRPr="00AC1922">
        <w:rPr>
          <w:rFonts w:ascii="Source Sans Pro" w:eastAsia="Times New Roman" w:hAnsi="Source Sans Pro" w:cs="Times New Roman"/>
          <w:kern w:val="0"/>
          <w:sz w:val="26"/>
          <w:szCs w:val="26"/>
          <w14:ligatures w14:val="none"/>
        </w:rPr>
        <w:t> provides guidance on working effectively with culturally and linguistically diverse patients. Your hospital, however, will need to adapt the RED to meet the needs of the populations that you serve.</w:t>
      </w:r>
    </w:p>
    <w:p w14:paraId="752242D3"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bookmarkStart w:id="14" w:name="Step11"/>
      <w:r w:rsidRPr="00AC1922">
        <w:rPr>
          <w:rFonts w:ascii="Source Sans Pro" w:eastAsia="Times New Roman" w:hAnsi="Source Sans Pro" w:cs="Times New Roman"/>
          <w:kern w:val="0"/>
          <w:sz w:val="26"/>
          <w:szCs w:val="26"/>
          <w14:ligatures w14:val="none"/>
        </w:rPr>
        <w:t> </w:t>
      </w:r>
      <w:bookmarkEnd w:id="14"/>
    </w:p>
    <w:p w14:paraId="3E6A823A" w14:textId="77777777" w:rsidR="00AC1922" w:rsidRPr="00AC1922" w:rsidRDefault="00AC1922" w:rsidP="00AC1922">
      <w:pPr>
        <w:spacing w:after="100" w:afterAutospacing="1" w:line="312" w:lineRule="atLeast"/>
        <w:outlineLvl w:val="3"/>
        <w:rPr>
          <w:rFonts w:ascii="Arial" w:eastAsia="Times New Roman" w:hAnsi="Arial" w:cs="Arial"/>
          <w:b/>
          <w:bCs/>
          <w:kern w:val="0"/>
          <w:sz w:val="30"/>
          <w:szCs w:val="30"/>
          <w14:ligatures w14:val="none"/>
        </w:rPr>
      </w:pPr>
      <w:r w:rsidRPr="00AC1922">
        <w:rPr>
          <w:rFonts w:ascii="Arial" w:eastAsia="Times New Roman" w:hAnsi="Arial" w:cs="Arial"/>
          <w:b/>
          <w:bCs/>
          <w:kern w:val="0"/>
          <w:sz w:val="30"/>
          <w:szCs w:val="30"/>
          <w14:ligatures w14:val="none"/>
        </w:rPr>
        <w:t>Step 11: Plan To Measure the Progress of RED Implementation</w:t>
      </w:r>
    </w:p>
    <w:p w14:paraId="1712C25D" w14:textId="77777777" w:rsidR="00AC1922" w:rsidRPr="00AC1922" w:rsidRDefault="00AC1922" w:rsidP="00AC1922">
      <w:pPr>
        <w:spacing w:after="100" w:afterAutospacing="1" w:line="360" w:lineRule="atLeast"/>
        <w:rPr>
          <w:rFonts w:ascii="Source Sans Pro" w:eastAsia="Times New Roman" w:hAnsi="Source Sans Pro" w:cs="Times New Roman"/>
          <w:kern w:val="0"/>
          <w:sz w:val="26"/>
          <w:szCs w:val="26"/>
          <w14:ligatures w14:val="none"/>
        </w:rPr>
      </w:pPr>
      <w:r w:rsidRPr="00AC1922">
        <w:rPr>
          <w:rFonts w:ascii="Source Sans Pro" w:eastAsia="Times New Roman" w:hAnsi="Source Sans Pro" w:cs="Times New Roman"/>
          <w:kern w:val="0"/>
          <w:sz w:val="26"/>
          <w:szCs w:val="26"/>
          <w14:ligatures w14:val="none"/>
        </w:rPr>
        <w:t>Monitoring the implementation and impact of your readmission reduction efforts is essential. Tracking process and outcome data will provide information that can be shared with staff as part of continuous quality improvement efforts and will satisfy stakeholders that progress is being made. Most measurements can be reported on a monthly basis. Information about how to track your implementation efforts and outcomes is discussed in the RED tool called "</w:t>
      </w:r>
      <w:hyperlink r:id="rId42" w:history="1">
        <w:r w:rsidRPr="00AC1922">
          <w:rPr>
            <w:rFonts w:ascii="Source Sans Pro" w:eastAsia="Times New Roman" w:hAnsi="Source Sans Pro" w:cs="Times New Roman"/>
            <w:color w:val="005B94"/>
            <w:kern w:val="0"/>
            <w:sz w:val="26"/>
            <w:szCs w:val="26"/>
            <w:u w:val="single"/>
            <w14:ligatures w14:val="none"/>
          </w:rPr>
          <w:t>How To Monitor RED Implementation and Outcomes</w:t>
        </w:r>
      </w:hyperlink>
      <w:r w:rsidRPr="00AC1922">
        <w:rPr>
          <w:rFonts w:ascii="Source Sans Pro" w:eastAsia="Times New Roman" w:hAnsi="Source Sans Pro" w:cs="Times New Roman"/>
          <w:kern w:val="0"/>
          <w:sz w:val="26"/>
          <w:szCs w:val="26"/>
          <w14:ligatures w14:val="none"/>
        </w:rPr>
        <w:t>."</w:t>
      </w:r>
    </w:p>
    <w:p w14:paraId="55B2DC8C" w14:textId="77777777" w:rsidR="00AC1922" w:rsidRPr="00AC1922" w:rsidRDefault="00AC1922" w:rsidP="00AC1922">
      <w:pPr>
        <w:spacing w:after="0" w:line="240" w:lineRule="auto"/>
        <w:rPr>
          <w:rFonts w:ascii="Times New Roman" w:eastAsia="Times New Roman" w:hAnsi="Times New Roman" w:cs="Times New Roman"/>
          <w:kern w:val="0"/>
          <w14:ligatures w14:val="none"/>
        </w:rPr>
      </w:pPr>
    </w:p>
    <w:p w14:paraId="4B8341EC" w14:textId="77777777" w:rsidR="007D3060" w:rsidRDefault="007D3060"/>
    <w:sectPr w:rsidR="007D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C1FF4"/>
    <w:multiLevelType w:val="multilevel"/>
    <w:tmpl w:val="149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510"/>
    <w:multiLevelType w:val="multilevel"/>
    <w:tmpl w:val="0A1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37824"/>
    <w:multiLevelType w:val="multilevel"/>
    <w:tmpl w:val="A8C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5604E"/>
    <w:multiLevelType w:val="multilevel"/>
    <w:tmpl w:val="A17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D148F"/>
    <w:multiLevelType w:val="multilevel"/>
    <w:tmpl w:val="C26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A2800"/>
    <w:multiLevelType w:val="multilevel"/>
    <w:tmpl w:val="65C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71418"/>
    <w:multiLevelType w:val="multilevel"/>
    <w:tmpl w:val="319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B0902"/>
    <w:multiLevelType w:val="multilevel"/>
    <w:tmpl w:val="A93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F26E8"/>
    <w:multiLevelType w:val="multilevel"/>
    <w:tmpl w:val="BBE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7776F"/>
    <w:multiLevelType w:val="multilevel"/>
    <w:tmpl w:val="5F4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64358"/>
    <w:multiLevelType w:val="multilevel"/>
    <w:tmpl w:val="764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2251A"/>
    <w:multiLevelType w:val="multilevel"/>
    <w:tmpl w:val="161C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1A4959"/>
    <w:multiLevelType w:val="multilevel"/>
    <w:tmpl w:val="4D88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777CF"/>
    <w:multiLevelType w:val="multilevel"/>
    <w:tmpl w:val="1F3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9234A"/>
    <w:multiLevelType w:val="multilevel"/>
    <w:tmpl w:val="F096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06279"/>
    <w:multiLevelType w:val="multilevel"/>
    <w:tmpl w:val="021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E53E9"/>
    <w:multiLevelType w:val="multilevel"/>
    <w:tmpl w:val="B4B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B3108"/>
    <w:multiLevelType w:val="multilevel"/>
    <w:tmpl w:val="95B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69403">
    <w:abstractNumId w:val="11"/>
  </w:num>
  <w:num w:numId="2" w16cid:durableId="1087337774">
    <w:abstractNumId w:val="17"/>
  </w:num>
  <w:num w:numId="3" w16cid:durableId="211692312">
    <w:abstractNumId w:val="3"/>
  </w:num>
  <w:num w:numId="4" w16cid:durableId="61299223">
    <w:abstractNumId w:val="15"/>
  </w:num>
  <w:num w:numId="5" w16cid:durableId="1895003317">
    <w:abstractNumId w:val="12"/>
  </w:num>
  <w:num w:numId="6" w16cid:durableId="837157564">
    <w:abstractNumId w:val="2"/>
  </w:num>
  <w:num w:numId="7" w16cid:durableId="1494831064">
    <w:abstractNumId w:val="5"/>
  </w:num>
  <w:num w:numId="8" w16cid:durableId="1507012027">
    <w:abstractNumId w:val="10"/>
  </w:num>
  <w:num w:numId="9" w16cid:durableId="1832523349">
    <w:abstractNumId w:val="1"/>
  </w:num>
  <w:num w:numId="10" w16cid:durableId="1188641801">
    <w:abstractNumId w:val="0"/>
  </w:num>
  <w:num w:numId="11" w16cid:durableId="1187328264">
    <w:abstractNumId w:val="13"/>
  </w:num>
  <w:num w:numId="12" w16cid:durableId="1554463332">
    <w:abstractNumId w:val="4"/>
  </w:num>
  <w:num w:numId="13" w16cid:durableId="1382484244">
    <w:abstractNumId w:val="9"/>
  </w:num>
  <w:num w:numId="14" w16cid:durableId="1626766677">
    <w:abstractNumId w:val="14"/>
  </w:num>
  <w:num w:numId="15" w16cid:durableId="1648775191">
    <w:abstractNumId w:val="16"/>
  </w:num>
  <w:num w:numId="16" w16cid:durableId="885796720">
    <w:abstractNumId w:val="7"/>
  </w:num>
  <w:num w:numId="17" w16cid:durableId="603735276">
    <w:abstractNumId w:val="6"/>
  </w:num>
  <w:num w:numId="18" w16cid:durableId="37955086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E4"/>
    <w:rsid w:val="000653A6"/>
    <w:rsid w:val="001F0600"/>
    <w:rsid w:val="004661E4"/>
    <w:rsid w:val="007D3060"/>
    <w:rsid w:val="00980AB9"/>
    <w:rsid w:val="00A066E6"/>
    <w:rsid w:val="00AC1922"/>
    <w:rsid w:val="00BE5EFB"/>
    <w:rsid w:val="00C15753"/>
    <w:rsid w:val="00CB6892"/>
    <w:rsid w:val="00DC0302"/>
    <w:rsid w:val="00EE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E2996"/>
  <w15:chartTrackingRefBased/>
  <w15:docId w15:val="{DBFA8608-303C-404E-B0F9-B078A3BF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6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6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E4"/>
    <w:rPr>
      <w:rFonts w:eastAsiaTheme="majorEastAsia" w:cstheme="majorBidi"/>
      <w:color w:val="272727" w:themeColor="text1" w:themeTint="D8"/>
    </w:rPr>
  </w:style>
  <w:style w:type="paragraph" w:styleId="Title">
    <w:name w:val="Title"/>
    <w:basedOn w:val="Normal"/>
    <w:next w:val="Normal"/>
    <w:link w:val="TitleChar"/>
    <w:uiPriority w:val="10"/>
    <w:qFormat/>
    <w:rsid w:val="0046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E4"/>
    <w:pPr>
      <w:spacing w:before="160"/>
      <w:jc w:val="center"/>
    </w:pPr>
    <w:rPr>
      <w:i/>
      <w:iCs/>
      <w:color w:val="404040" w:themeColor="text1" w:themeTint="BF"/>
    </w:rPr>
  </w:style>
  <w:style w:type="character" w:customStyle="1" w:styleId="QuoteChar">
    <w:name w:val="Quote Char"/>
    <w:basedOn w:val="DefaultParagraphFont"/>
    <w:link w:val="Quote"/>
    <w:uiPriority w:val="29"/>
    <w:rsid w:val="004661E4"/>
    <w:rPr>
      <w:i/>
      <w:iCs/>
      <w:color w:val="404040" w:themeColor="text1" w:themeTint="BF"/>
    </w:rPr>
  </w:style>
  <w:style w:type="paragraph" w:styleId="ListParagraph">
    <w:name w:val="List Paragraph"/>
    <w:basedOn w:val="Normal"/>
    <w:uiPriority w:val="34"/>
    <w:qFormat/>
    <w:rsid w:val="004661E4"/>
    <w:pPr>
      <w:ind w:left="720"/>
      <w:contextualSpacing/>
    </w:pPr>
  </w:style>
  <w:style w:type="character" w:styleId="IntenseEmphasis">
    <w:name w:val="Intense Emphasis"/>
    <w:basedOn w:val="DefaultParagraphFont"/>
    <w:uiPriority w:val="21"/>
    <w:qFormat/>
    <w:rsid w:val="004661E4"/>
    <w:rPr>
      <w:i/>
      <w:iCs/>
      <w:color w:val="0F4761" w:themeColor="accent1" w:themeShade="BF"/>
    </w:rPr>
  </w:style>
  <w:style w:type="paragraph" w:styleId="IntenseQuote">
    <w:name w:val="Intense Quote"/>
    <w:basedOn w:val="Normal"/>
    <w:next w:val="Normal"/>
    <w:link w:val="IntenseQuoteChar"/>
    <w:uiPriority w:val="30"/>
    <w:qFormat/>
    <w:rsid w:val="0046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1E4"/>
    <w:rPr>
      <w:i/>
      <w:iCs/>
      <w:color w:val="0F4761" w:themeColor="accent1" w:themeShade="BF"/>
    </w:rPr>
  </w:style>
  <w:style w:type="character" w:styleId="IntenseReference">
    <w:name w:val="Intense Reference"/>
    <w:basedOn w:val="DefaultParagraphFont"/>
    <w:uiPriority w:val="32"/>
    <w:qFormat/>
    <w:rsid w:val="004661E4"/>
    <w:rPr>
      <w:b/>
      <w:bCs/>
      <w:smallCaps/>
      <w:color w:val="0F4761" w:themeColor="accent1" w:themeShade="BF"/>
      <w:spacing w:val="5"/>
    </w:rPr>
  </w:style>
  <w:style w:type="paragraph" w:styleId="NormalWeb">
    <w:name w:val="Normal (Web)"/>
    <w:basedOn w:val="Normal"/>
    <w:uiPriority w:val="99"/>
    <w:semiHidden/>
    <w:unhideWhenUsed/>
    <w:rsid w:val="00AC19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1922"/>
    <w:rPr>
      <w:color w:val="0000FF"/>
      <w:u w:val="single"/>
    </w:rPr>
  </w:style>
  <w:style w:type="character" w:styleId="Strong">
    <w:name w:val="Strong"/>
    <w:basedOn w:val="DefaultParagraphFont"/>
    <w:uiPriority w:val="22"/>
    <w:qFormat/>
    <w:rsid w:val="00AC1922"/>
    <w:rPr>
      <w:b/>
      <w:bCs/>
    </w:rPr>
  </w:style>
  <w:style w:type="character" w:styleId="Emphasis">
    <w:name w:val="Emphasis"/>
    <w:basedOn w:val="DefaultParagraphFont"/>
    <w:uiPriority w:val="20"/>
    <w:qFormat/>
    <w:rsid w:val="00AC19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hrq.gov/patient-safety/settings/hospital/red/toolkit/redtool1ref.html" TargetMode="External"/><Relationship Id="rId18" Type="http://schemas.openxmlformats.org/officeDocument/2006/relationships/hyperlink" Target="https://www.ahrq.gov/patient-safety/settings/hospital/red/toolkit/redtool1ref.html" TargetMode="External"/><Relationship Id="rId26" Type="http://schemas.openxmlformats.org/officeDocument/2006/relationships/hyperlink" Target="https://www.ahrq.gov/patient-safety/settings/hospital/red/toolkit/redtool2ref.html" TargetMode="External"/><Relationship Id="rId39" Type="http://schemas.openxmlformats.org/officeDocument/2006/relationships/hyperlink" Target="https://www.ahrq.gov/sites/default/files/wysiwyg/patient-safety/settings/hospital/red/toolkit/ahcptemplsp.docx" TargetMode="External"/><Relationship Id="rId21" Type="http://schemas.openxmlformats.org/officeDocument/2006/relationships/hyperlink" Target="https://www.ahrq.gov/patient-safety/settings/hospital/red/toolkit/redtool1ref.html" TargetMode="External"/><Relationship Id="rId34" Type="http://schemas.openxmlformats.org/officeDocument/2006/relationships/hyperlink" Target="https://www.ahrq.gov/patient-safety/settings/hospital/red/toolkit/redtool2ref.html" TargetMode="External"/><Relationship Id="rId42" Type="http://schemas.openxmlformats.org/officeDocument/2006/relationships/hyperlink" Target="https://www.ahrq.gov/patient-safety/settings/hospital/red/toolkit/redtool6.html" TargetMode="External"/><Relationship Id="rId7" Type="http://schemas.openxmlformats.org/officeDocument/2006/relationships/hyperlink" Target="https://www.ahrq.gov/patient-safety/settings/hospital/red/toolkit/redtool1ref.html" TargetMode="External"/><Relationship Id="rId2" Type="http://schemas.openxmlformats.org/officeDocument/2006/relationships/styles" Target="styles.xml"/><Relationship Id="rId16" Type="http://schemas.openxmlformats.org/officeDocument/2006/relationships/hyperlink" Target="https://www.ahrq.gov/patient-safety/settings/hospital/red/toolkit/redtool1ref.html" TargetMode="External"/><Relationship Id="rId20" Type="http://schemas.openxmlformats.org/officeDocument/2006/relationships/hyperlink" Target="https://www.ahrq.gov/patient-safety/settings/hospital/red/toolkit/redtool1ref.html" TargetMode="External"/><Relationship Id="rId29" Type="http://schemas.openxmlformats.org/officeDocument/2006/relationships/hyperlink" Target="https://www.ahrq.gov/patient-safety/settings/hospital/red/toolkit/redtool2ref.html" TargetMode="External"/><Relationship Id="rId41" Type="http://schemas.openxmlformats.org/officeDocument/2006/relationships/hyperlink" Target="https://www.ahrq.gov/patient-safety/settings/hospital/red/toolkit/redtool4.html" TargetMode="External"/><Relationship Id="rId1" Type="http://schemas.openxmlformats.org/officeDocument/2006/relationships/numbering" Target="numbering.xml"/><Relationship Id="rId6" Type="http://schemas.openxmlformats.org/officeDocument/2006/relationships/hyperlink" Target="https://www.ahrq.gov/patient-safety/settings/hospital/red/toolkit/redtool1ref.html" TargetMode="External"/><Relationship Id="rId11" Type="http://schemas.openxmlformats.org/officeDocument/2006/relationships/hyperlink" Target="https://www.ahrq.gov/patient-safety/settings/hospital/red/toolkit/redtool1ref.html" TargetMode="External"/><Relationship Id="rId24" Type="http://schemas.openxmlformats.org/officeDocument/2006/relationships/hyperlink" Target="https://www.ahrq.gov/patient-safety/settings/hospital/red/toolkit/redtool6.html" TargetMode="External"/><Relationship Id="rId32" Type="http://schemas.openxmlformats.org/officeDocument/2006/relationships/hyperlink" Target="https://www.ahrq.gov/patient-safety/settings/hospital/red/toolkit/redtool2ref.html" TargetMode="External"/><Relationship Id="rId37" Type="http://schemas.openxmlformats.org/officeDocument/2006/relationships/hyperlink" Target="https://www.ahrq.gov/patient-safety/settings/hospital/red/toolkit/redtool3.html" TargetMode="External"/><Relationship Id="rId40" Type="http://schemas.openxmlformats.org/officeDocument/2006/relationships/hyperlink" Target="http://www.hhs.gov/web/tools/plugins.html" TargetMode="External"/><Relationship Id="rId5" Type="http://schemas.openxmlformats.org/officeDocument/2006/relationships/hyperlink" Target="https://www.ahrq.gov/patient-safety/settings/hospital/red/toolkit/redtool1ref.html" TargetMode="External"/><Relationship Id="rId15" Type="http://schemas.openxmlformats.org/officeDocument/2006/relationships/hyperlink" Target="https://www.ahrq.gov/patient-safety/settings/hospital/red/toolkit/redtool1ref.html" TargetMode="External"/><Relationship Id="rId23" Type="http://schemas.openxmlformats.org/officeDocument/2006/relationships/hyperlink" Target="https://www.ahrq.gov/patient-safety/settings/hospital/red/toolkit/redtool2ref.html" TargetMode="External"/><Relationship Id="rId28" Type="http://schemas.openxmlformats.org/officeDocument/2006/relationships/hyperlink" Target="https://www.ahrq.gov/patient-safety/settings/hospital/red/toolkit/redtool2ref.html" TargetMode="External"/><Relationship Id="rId36" Type="http://schemas.openxmlformats.org/officeDocument/2006/relationships/hyperlink" Target="https://www.ahrq.gov/patient-safety/settings/hospital/red/toolkit/sampleagenda.html" TargetMode="External"/><Relationship Id="rId10" Type="http://schemas.openxmlformats.org/officeDocument/2006/relationships/hyperlink" Target="https://www.ahrq.gov/patient-safety/settings/hospital/red/toolkit/redtool1ref.html" TargetMode="External"/><Relationship Id="rId19" Type="http://schemas.openxmlformats.org/officeDocument/2006/relationships/hyperlink" Target="https://www.ahrq.gov/patient-safety/settings/hospital/red/toolkit/redtool1ref.html" TargetMode="External"/><Relationship Id="rId31" Type="http://schemas.openxmlformats.org/officeDocument/2006/relationships/hyperlink" Target="https://www.ahrq.gov/patient-safety/settings/hospital/red/toolkit/redtool2ref.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hrq.gov/patient-safety/settings/hospital/red/toolkit/redtool1ref.html" TargetMode="External"/><Relationship Id="rId14" Type="http://schemas.openxmlformats.org/officeDocument/2006/relationships/hyperlink" Target="https://www.ahrq.gov/patient-safety/settings/hospital/red/toolkit/redtool1ref.html" TargetMode="External"/><Relationship Id="rId22" Type="http://schemas.openxmlformats.org/officeDocument/2006/relationships/hyperlink" Target="https://www.ahrq.gov/patient-safety/settings/hospital/red/toolkit/redtool2ref.html" TargetMode="External"/><Relationship Id="rId27" Type="http://schemas.openxmlformats.org/officeDocument/2006/relationships/hyperlink" Target="https://www.ahrq.gov/patient-safety/settings/hospital/red/toolkit/redtool2ref.html" TargetMode="External"/><Relationship Id="rId30" Type="http://schemas.openxmlformats.org/officeDocument/2006/relationships/hyperlink" Target="https://www.ahrq.gov/patient-safety/settings/hospital/red/toolkit/redtool2ref.html" TargetMode="External"/><Relationship Id="rId35" Type="http://schemas.openxmlformats.org/officeDocument/2006/relationships/hyperlink" Target="https://www.ahrq.gov/patient-safety/settings/hospital/red/toolkit/redtool2.html" TargetMode="External"/><Relationship Id="rId43" Type="http://schemas.openxmlformats.org/officeDocument/2006/relationships/fontTable" Target="fontTable.xml"/><Relationship Id="rId8" Type="http://schemas.openxmlformats.org/officeDocument/2006/relationships/hyperlink" Target="https://www.ahrq.gov/patient-safety/settings/hospital/red/toolkit/redtool1ref.html" TargetMode="External"/><Relationship Id="rId3" Type="http://schemas.openxmlformats.org/officeDocument/2006/relationships/settings" Target="settings.xml"/><Relationship Id="rId12" Type="http://schemas.openxmlformats.org/officeDocument/2006/relationships/hyperlink" Target="https://www.ahrq.gov/patient-safety/settings/hospital/red/toolkit/redtool1ref.html" TargetMode="External"/><Relationship Id="rId17" Type="http://schemas.openxmlformats.org/officeDocument/2006/relationships/hyperlink" Target="https://www.ahrq.gov/patient-safety/settings/hospital/red/toolkit/redtool1ref.html" TargetMode="External"/><Relationship Id="rId25" Type="http://schemas.openxmlformats.org/officeDocument/2006/relationships/hyperlink" Target="https://www.ahrq.gov/patient-safety/settings/hospital/red/toolkit/redtool2ref.html" TargetMode="External"/><Relationship Id="rId33" Type="http://schemas.openxmlformats.org/officeDocument/2006/relationships/hyperlink" Target="https://www.ahrq.gov/patient-safety/settings/hospital/red/toolkit/redtool2ref.html" TargetMode="External"/><Relationship Id="rId38" Type="http://schemas.openxmlformats.org/officeDocument/2006/relationships/hyperlink" Target="https://www.ahrq.gov/sites/default/files/wysiwyg/patient-safety/settings/hospital/red/toolkit/ahcptemple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6262</Words>
  <Characters>35698</Characters>
  <Application>Microsoft Office Word</Application>
  <DocSecurity>0</DocSecurity>
  <Lines>297</Lines>
  <Paragraphs>83</Paragraphs>
  <ScaleCrop>false</ScaleCrop>
  <Company/>
  <LinksUpToDate>false</LinksUpToDate>
  <CharactersWithSpaces>41877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Chandrashekaran</dc:creator>
  <cp:keywords/>
  <dc:description/>
  <cp:lastModifiedBy>Maya Chandrashekaran</cp:lastModifiedBy>
  <cp:revision>2</cp:revision>
  <dcterms:created xsi:type="dcterms:W3CDTF">2026-08-17T01:25:00Z</dcterms:created>
  <dcterms:modified xsi:type="dcterms:W3CDTF">2026-08-17T01:28:00Z</dcterms:modified>
</cp:coreProperties>
</file>