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38"/>
          <w:szCs w:val="38"/>
        </w:rPr>
        <w:t xml:space="preserve">AI RISK REGISTER: NIMBUS DEVSECOPS</w:t>
      </w:r>
    </w:p>
    <w:p>
      <w:pPr>
        <w:spacing w:after="40"/>
        <w:jc w:val="center"/>
      </w:pPr>
      <w:r>
        <w:rPr>
          <w:i/>
          <w:iCs/>
          <w:color w:val="4B5563"/>
          <w:sz w:val="22"/>
          <w:szCs w:val="22"/>
        </w:rPr>
        <w:t xml:space="preserve">Grounded in: "Five AI Security Breaches That Should Keep You Up at Night"</w:t>
      </w:r>
    </w:p>
    <w:p>
      <w:pPr>
        <w:spacing w:after="300"/>
        <w:jc w:val="center"/>
      </w:pPr>
      <w:r>
        <w:rPr>
          <w:color w:val="6B7280"/>
          <w:sz w:val="20"/>
          <w:szCs w:val="20"/>
        </w:rPr>
        <w:t xml:space="preserve">Worked Example, Version 1.0</w:t>
      </w:r>
    </w:p>
    <w:p>
      <w:pPr>
        <w:pBdr>
          <w:bottom w:val="single" w:color="9CA3AF" w:sz="6" w:space="1"/>
        </w:pBdr>
        <w:spacing w:after="240"/>
      </w:pPr>
    </w:p>
    <w:p>
      <w:pPr>
        <w:pStyle w:val="Heading1"/>
        <w:spacing w:after="160" w:before="360"/>
      </w:pPr>
      <w:r>
        <w:rPr>
          <w:b/>
          <w:bCs/>
          <w:color w:val="1F2937"/>
          <w:sz w:val="30"/>
          <w:szCs w:val="30"/>
        </w:rPr>
        <w:t xml:space="preserve">Executive Summary</w:t>
      </w:r>
    </w:p>
    <w:p>
      <w:pPr>
        <w:spacing w:after="160" w:line="300"/>
      </w:pPr>
      <w:r>
        <w:rPr>
          <w:sz w:val="22"/>
          <w:szCs w:val="22"/>
        </w:rPr>
        <w:t xml:space="preserve">Nimbus DevSecOps builds AI-augmented developer tooling, including an AI coding agent, a customer-facing support chatbot, and an autonomous incident-response agent. All three systems rely on MCP-based tool integrations to remain useful, which is the same design pattern behind every incident reviewed in our team's Threat Landscape research. This register identifies eight risks across data leakage, prompt injection, excessive agent autonomy, and governance gaps, each grounded in a real, publicly documented incident. The highest-priority finding is R-08: the broad tool permissions granted to both of Nimbus's agents amplify the impact of every other risk in this register, and should be the first area addressed.</w:t>
      </w:r>
    </w:p>
    <w:p>
      <w:pPr>
        <w:pStyle w:val="Heading1"/>
        <w:spacing w:after="160" w:before="360"/>
      </w:pPr>
      <w:r>
        <w:rPr>
          <w:b/>
          <w:bCs/>
          <w:color w:val="1F2937"/>
          <w:sz w:val="30"/>
          <w:szCs w:val="30"/>
        </w:rPr>
        <w:t xml:space="preserve">Company Profile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Attribute</w:t>
            </w:r>
          </w:p>
        </w:tc>
        <w:tc>
          <w:tcPr>
            <w:tcW w:type="dxa" w:w="6750"/>
            <w:shd w:fill="1F2937" w:val="clear"/>
            <w:tcMar>
              <w:top w:type="dxa" w:w="100"/>
              <w:left w:type="dxa" w:w="120"/>
              <w:bottom w:type="dxa" w:w="100"/>
              <w:right w:type="dxa" w:w="120"/>
            </w:tcMar>
          </w:tcPr>
          <w:p>
            <w:r>
              <w:rPr>
                <w:b/>
                <w:bCs/>
                <w:color w:val="FFFFFF"/>
                <w:sz w:val="20"/>
                <w:szCs w:val="20"/>
              </w:rPr>
              <w:t xml:space="preserve">Detail</w:t>
            </w:r>
          </w:p>
        </w:tc>
      </w:tr>
      <w:tr>
        <w:tc>
          <w:tcPr>
            <w:tcW w:type="dxa" w:w="2600"/>
            <w:tcMar>
              <w:top w:type="dxa" w:w="100"/>
              <w:left w:type="dxa" w:w="120"/>
              <w:bottom w:type="dxa" w:w="100"/>
              <w:right w:type="dxa" w:w="120"/>
            </w:tcMar>
          </w:tcPr>
          <w:p>
            <w:r>
              <w:rPr>
                <w:b w:val="false"/>
                <w:bCs w:val="false"/>
                <w:color w:val="111827"/>
                <w:sz w:val="20"/>
                <w:szCs w:val="20"/>
              </w:rPr>
              <w:t xml:space="preserve">Company Name</w:t>
            </w:r>
          </w:p>
        </w:tc>
        <w:tc>
          <w:tcPr>
            <w:tcW w:type="dxa" w:w="6750"/>
            <w:tcMar>
              <w:top w:type="dxa" w:w="100"/>
              <w:left w:type="dxa" w:w="120"/>
              <w:bottom w:type="dxa" w:w="100"/>
              <w:right w:type="dxa" w:w="120"/>
            </w:tcMar>
          </w:tcPr>
          <w:p>
            <w:r>
              <w:rPr>
                <w:b w:val="false"/>
                <w:bCs w:val="false"/>
                <w:color w:val="111827"/>
                <w:sz w:val="20"/>
                <w:szCs w:val="20"/>
              </w:rPr>
              <w:t xml:space="preserve">Nimbus DevSecOps (fictional)</w:t>
            </w:r>
          </w:p>
        </w:tc>
      </w:tr>
      <w:tr>
        <w:tc>
          <w:tcPr>
            <w:tcW w:type="dxa" w:w="2600"/>
            <w:tcMar>
              <w:top w:type="dxa" w:w="100"/>
              <w:left w:type="dxa" w:w="120"/>
              <w:bottom w:type="dxa" w:w="100"/>
              <w:right w:type="dxa" w:w="120"/>
            </w:tcMar>
          </w:tcPr>
          <w:p>
            <w:r>
              <w:rPr>
                <w:b w:val="false"/>
                <w:bCs w:val="false"/>
                <w:color w:val="111827"/>
                <w:sz w:val="20"/>
                <w:szCs w:val="20"/>
              </w:rPr>
              <w:t xml:space="preserve">Industry</w:t>
            </w:r>
          </w:p>
        </w:tc>
        <w:tc>
          <w:tcPr>
            <w:tcW w:type="dxa" w:w="6750"/>
            <w:tcMar>
              <w:top w:type="dxa" w:w="100"/>
              <w:left w:type="dxa" w:w="120"/>
              <w:bottom w:type="dxa" w:w="100"/>
              <w:right w:type="dxa" w:w="120"/>
            </w:tcMar>
          </w:tcPr>
          <w:p>
            <w:r>
              <w:rPr>
                <w:b w:val="false"/>
                <w:bCs w:val="false"/>
                <w:color w:val="111827"/>
                <w:sz w:val="20"/>
                <w:szCs w:val="20"/>
              </w:rPr>
              <w:t xml:space="preserve">AI-augmented developer tooling and DevSecOps platform vendor</w:t>
            </w:r>
          </w:p>
        </w:tc>
      </w:tr>
      <w:tr>
        <w:tc>
          <w:tcPr>
            <w:tcW w:type="dxa" w:w="2600"/>
            <w:tcMar>
              <w:top w:type="dxa" w:w="100"/>
              <w:left w:type="dxa" w:w="120"/>
              <w:bottom w:type="dxa" w:w="100"/>
              <w:right w:type="dxa" w:w="120"/>
            </w:tcMar>
          </w:tcPr>
          <w:p>
            <w:r>
              <w:rPr>
                <w:b w:val="false"/>
                <w:bCs w:val="false"/>
                <w:color w:val="111827"/>
                <w:sz w:val="20"/>
                <w:szCs w:val="20"/>
              </w:rPr>
              <w:t xml:space="preserve">Size</w:t>
            </w:r>
          </w:p>
        </w:tc>
        <w:tc>
          <w:tcPr>
            <w:tcW w:type="dxa" w:w="6750"/>
            <w:tcMar>
              <w:top w:type="dxa" w:w="100"/>
              <w:left w:type="dxa" w:w="120"/>
              <w:bottom w:type="dxa" w:w="100"/>
              <w:right w:type="dxa" w:w="120"/>
            </w:tcMar>
          </w:tcPr>
          <w:p>
            <w:r>
              <w:rPr>
                <w:b w:val="false"/>
                <w:bCs w:val="false"/>
                <w:color w:val="111827"/>
                <w:sz w:val="20"/>
                <w:szCs w:val="20"/>
              </w:rPr>
              <w:t xml:space="preserve">Approximately 60 employees, early-growth-stage startup</w:t>
            </w:r>
          </w:p>
        </w:tc>
      </w:tr>
      <w:tr>
        <w:tc>
          <w:tcPr>
            <w:tcW w:type="dxa" w:w="2600"/>
            <w:tcMar>
              <w:top w:type="dxa" w:w="100"/>
              <w:left w:type="dxa" w:w="120"/>
              <w:bottom w:type="dxa" w:w="100"/>
              <w:right w:type="dxa" w:w="120"/>
            </w:tcMar>
          </w:tcPr>
          <w:p>
            <w:r>
              <w:rPr>
                <w:b w:val="false"/>
                <w:bCs w:val="false"/>
                <w:color w:val="111827"/>
                <w:sz w:val="20"/>
                <w:szCs w:val="20"/>
              </w:rPr>
              <w:t xml:space="preserve">AI System 1</w:t>
            </w:r>
          </w:p>
        </w:tc>
        <w:tc>
          <w:tcPr>
            <w:tcW w:type="dxa" w:w="6750"/>
            <w:tcMar>
              <w:top w:type="dxa" w:w="100"/>
              <w:left w:type="dxa" w:w="120"/>
              <w:bottom w:type="dxa" w:w="100"/>
              <w:right w:type="dxa" w:w="120"/>
            </w:tcMar>
          </w:tcPr>
          <w:p>
            <w:r>
              <w:rPr>
                <w:b w:val="false"/>
                <w:bCs w:val="false"/>
                <w:color w:val="111827"/>
                <w:sz w:val="20"/>
                <w:szCs w:val="20"/>
              </w:rPr>
              <w:t xml:space="preserve">AI coding agent used internally by engineers, integrated via MCP with repositories, terminals, and deployment tooling</w:t>
            </w:r>
          </w:p>
        </w:tc>
      </w:tr>
      <w:tr>
        <w:tc>
          <w:tcPr>
            <w:tcW w:type="dxa" w:w="2600"/>
            <w:tcMar>
              <w:top w:type="dxa" w:w="100"/>
              <w:left w:type="dxa" w:w="120"/>
              <w:bottom w:type="dxa" w:w="100"/>
              <w:right w:type="dxa" w:w="120"/>
            </w:tcMar>
          </w:tcPr>
          <w:p>
            <w:r>
              <w:rPr>
                <w:b w:val="false"/>
                <w:bCs w:val="false"/>
                <w:color w:val="111827"/>
                <w:sz w:val="20"/>
                <w:szCs w:val="20"/>
              </w:rPr>
              <w:t xml:space="preserve">AI System 2</w:t>
            </w:r>
          </w:p>
        </w:tc>
        <w:tc>
          <w:tcPr>
            <w:tcW w:type="dxa" w:w="6750"/>
            <w:tcMar>
              <w:top w:type="dxa" w:w="100"/>
              <w:left w:type="dxa" w:w="120"/>
              <w:bottom w:type="dxa" w:w="100"/>
              <w:right w:type="dxa" w:w="120"/>
            </w:tcMar>
          </w:tcPr>
          <w:p>
            <w:r>
              <w:rPr>
                <w:b w:val="false"/>
                <w:bCs w:val="false"/>
                <w:color w:val="111827"/>
                <w:sz w:val="20"/>
                <w:szCs w:val="20"/>
              </w:rPr>
              <w:t xml:space="preserve">Customer-facing support chatbot on Nimbus's website and product portal</w:t>
            </w:r>
          </w:p>
        </w:tc>
      </w:tr>
      <w:tr>
        <w:tc>
          <w:tcPr>
            <w:tcW w:type="dxa" w:w="2600"/>
            <w:tcMar>
              <w:top w:type="dxa" w:w="100"/>
              <w:left w:type="dxa" w:w="120"/>
              <w:bottom w:type="dxa" w:w="100"/>
              <w:right w:type="dxa" w:w="120"/>
            </w:tcMar>
          </w:tcPr>
          <w:p>
            <w:r>
              <w:rPr>
                <w:b w:val="false"/>
                <w:bCs w:val="false"/>
                <w:color w:val="111827"/>
                <w:sz w:val="20"/>
                <w:szCs w:val="20"/>
              </w:rPr>
              <w:t xml:space="preserve">AI System 3</w:t>
            </w:r>
          </w:p>
        </w:tc>
        <w:tc>
          <w:tcPr>
            <w:tcW w:type="dxa" w:w="6750"/>
            <w:tcMar>
              <w:top w:type="dxa" w:w="100"/>
              <w:left w:type="dxa" w:w="120"/>
              <w:bottom w:type="dxa" w:w="100"/>
              <w:right w:type="dxa" w:w="120"/>
            </w:tcMar>
          </w:tcPr>
          <w:p>
            <w:r>
              <w:rPr>
                <w:b w:val="false"/>
                <w:bCs w:val="false"/>
                <w:color w:val="111827"/>
                <w:sz w:val="20"/>
                <w:szCs w:val="20"/>
              </w:rPr>
              <w:t xml:space="preserve">Semi-autonomous incident-response agent that triages alerts from monitoring platforms for both internal and customer environments</w:t>
            </w:r>
          </w:p>
        </w:tc>
      </w:tr>
      <w:tr>
        <w:tc>
          <w:tcPr>
            <w:tcW w:type="dxa" w:w="2600"/>
            <w:tcMar>
              <w:top w:type="dxa" w:w="100"/>
              <w:left w:type="dxa" w:w="120"/>
              <w:bottom w:type="dxa" w:w="100"/>
              <w:right w:type="dxa" w:w="120"/>
            </w:tcMar>
          </w:tcPr>
          <w:p>
            <w:r>
              <w:rPr>
                <w:b w:val="false"/>
                <w:bCs w:val="false"/>
                <w:color w:val="111827"/>
                <w:sz w:val="20"/>
                <w:szCs w:val="20"/>
              </w:rPr>
              <w:t xml:space="preserve">Data Involved</w:t>
            </w:r>
          </w:p>
        </w:tc>
        <w:tc>
          <w:tcPr>
            <w:tcW w:type="dxa" w:w="6750"/>
            <w:tcMar>
              <w:top w:type="dxa" w:w="100"/>
              <w:left w:type="dxa" w:w="120"/>
              <w:bottom w:type="dxa" w:w="100"/>
              <w:right w:type="dxa" w:w="120"/>
            </w:tcMar>
          </w:tcPr>
          <w:p>
            <w:r>
              <w:rPr>
                <w:b w:val="false"/>
                <w:bCs w:val="false"/>
                <w:color w:val="111827"/>
                <w:sz w:val="20"/>
                <w:szCs w:val="20"/>
              </w:rPr>
              <w:t xml:space="preserve">Proprietary source code, deployment credentials, customer support conversations, customer monitoring/error data</w:t>
            </w:r>
          </w:p>
        </w:tc>
      </w:tr>
      <w:tr>
        <w:tc>
          <w:tcPr>
            <w:tcW w:type="dxa" w:w="2600"/>
            <w:tcMar>
              <w:top w:type="dxa" w:w="100"/>
              <w:left w:type="dxa" w:w="120"/>
              <w:bottom w:type="dxa" w:w="100"/>
              <w:right w:type="dxa" w:w="120"/>
            </w:tcMar>
          </w:tcPr>
          <w:p>
            <w:r>
              <w:rPr>
                <w:b w:val="false"/>
                <w:bCs w:val="false"/>
                <w:color w:val="111827"/>
                <w:sz w:val="20"/>
                <w:szCs w:val="20"/>
              </w:rPr>
              <w:t xml:space="preserve">Users</w:t>
            </w:r>
          </w:p>
        </w:tc>
        <w:tc>
          <w:tcPr>
            <w:tcW w:type="dxa" w:w="6750"/>
            <w:tcMar>
              <w:top w:type="dxa" w:w="100"/>
              <w:left w:type="dxa" w:w="120"/>
              <w:bottom w:type="dxa" w:w="100"/>
              <w:right w:type="dxa" w:w="120"/>
            </w:tcMar>
          </w:tcPr>
          <w:p>
            <w:r>
              <w:rPr>
                <w:b w:val="false"/>
                <w:bCs w:val="false"/>
                <w:color w:val="111827"/>
                <w:sz w:val="20"/>
                <w:szCs w:val="20"/>
              </w:rPr>
              <w:t xml:space="preserve">Internal engineers (coding agent, incident-response agent) and external customers (support chatbot)</w:t>
            </w:r>
          </w:p>
        </w:tc>
      </w:tr>
    </w:tbl>
    <w:p>
      <w:pPr>
        <w:spacing w:after="240"/>
      </w:pPr>
    </w:p>
    <w:p>
      <w:pPr>
        <w:pStyle w:val="Heading1"/>
        <w:spacing w:after="160" w:before="360"/>
      </w:pPr>
      <w:r>
        <w:rPr>
          <w:b/>
          <w:bCs/>
          <w:color w:val="1F2937"/>
          <w:sz w:val="30"/>
          <w:szCs w:val="30"/>
        </w:rPr>
        <w:t xml:space="preserve">Risk Register</w:t>
      </w:r>
    </w:p>
    <w:p>
      <w:pPr>
        <w:spacing w:after="160" w:line="300"/>
      </w:pPr>
      <w:r>
        <w:rPr>
          <w:sz w:val="22"/>
          <w:szCs w:val="22"/>
        </w:rPr>
        <w:t xml:space="preserve">Each risk below is traced directly to an incident documented in the team's AI Threat Landscape Report submission.</w:t>
      </w:r>
    </w:p>
    <w:p>
      <w:pPr>
        <w:pStyle w:val="Heading2"/>
        <w:spacing w:after="120" w:before="240"/>
      </w:pPr>
      <w:r>
        <w:rPr>
          <w:b/>
          <w:bCs/>
          <w:color w:val="1F2937"/>
          <w:sz w:val="24"/>
          <w:szCs w:val="24"/>
        </w:rPr>
        <w:t xml:space="preserve">R-01: MCP Trust Boundary Exploitation via Malicious Tool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Risk ID</w:t>
            </w:r>
          </w:p>
        </w:tc>
        <w:tc>
          <w:tcPr>
            <w:tcW w:type="dxa" w:w="6750"/>
            <w:tcMar>
              <w:top w:type="dxa" w:w="100"/>
              <w:left w:type="dxa" w:w="120"/>
              <w:bottom w:type="dxa" w:w="100"/>
              <w:right w:type="dxa" w:w="120"/>
            </w:tcMar>
          </w:tcPr>
          <w:p>
            <w:r>
              <w:rPr>
                <w:b w:val="false"/>
                <w:bCs w:val="false"/>
                <w:color w:val="111827"/>
                <w:sz w:val="20"/>
                <w:szCs w:val="20"/>
              </w:rPr>
              <w:t xml:space="preserve">R-01</w:t>
            </w:r>
          </w:p>
        </w:tc>
      </w:tr>
      <w:tr>
        <w:tc>
          <w:tcPr>
            <w:tcW w:type="dxa" w:w="2600"/>
            <w:shd w:fill="1F2937" w:val="clear"/>
            <w:tcMar>
              <w:top w:type="dxa" w:w="100"/>
              <w:left w:type="dxa" w:w="120"/>
              <w:bottom w:type="dxa" w:w="100"/>
              <w:right w:type="dxa" w:w="120"/>
            </w:tcMar>
          </w:tcPr>
          <w:p>
            <w:r>
              <w:rPr>
                <w:b/>
                <w:bCs/>
                <w:color w:val="FFFFFF"/>
                <w:sz w:val="20"/>
                <w:szCs w:val="20"/>
              </w:rPr>
              <w:t xml:space="preserve">Risk Name</w:t>
            </w:r>
          </w:p>
        </w:tc>
        <w:tc>
          <w:tcPr>
            <w:tcW w:type="dxa" w:w="6750"/>
            <w:tcMar>
              <w:top w:type="dxa" w:w="100"/>
              <w:left w:type="dxa" w:w="120"/>
              <w:bottom w:type="dxa" w:w="100"/>
              <w:right w:type="dxa" w:w="120"/>
            </w:tcMar>
          </w:tcPr>
          <w:p>
            <w:r>
              <w:rPr>
                <w:b w:val="false"/>
                <w:bCs w:val="false"/>
                <w:color w:val="111827"/>
                <w:sz w:val="20"/>
                <w:szCs w:val="20"/>
              </w:rPr>
              <w:t xml:space="preserve">MCP Trust Boundary Exploitation via Malicious Tool Server</w:t>
            </w:r>
          </w:p>
        </w:tc>
      </w:tr>
      <w:tr>
        <w:tc>
          <w:tcPr>
            <w:tcW w:type="dxa" w:w="2600"/>
            <w:shd w:fill="1F2937" w:val="clear"/>
            <w:tcMar>
              <w:top w:type="dxa" w:w="100"/>
              <w:left w:type="dxa" w:w="120"/>
              <w:bottom w:type="dxa" w:w="100"/>
              <w:right w:type="dxa" w:w="120"/>
            </w:tcMar>
          </w:tcPr>
          <w:p>
            <w:r>
              <w:rPr>
                <w:b/>
                <w:bCs/>
                <w:color w:val="FFFFFF"/>
                <w:sz w:val="20"/>
                <w:szCs w:val="20"/>
              </w:rPr>
              <w:t xml:space="preserve">Affected AI System</w:t>
            </w:r>
          </w:p>
        </w:tc>
        <w:tc>
          <w:tcPr>
            <w:tcW w:type="dxa" w:w="6750"/>
            <w:tcMar>
              <w:top w:type="dxa" w:w="100"/>
              <w:left w:type="dxa" w:w="120"/>
              <w:bottom w:type="dxa" w:w="100"/>
              <w:right w:type="dxa" w:w="120"/>
            </w:tcMar>
          </w:tcPr>
          <w:p>
            <w:r>
              <w:rPr>
                <w:b w:val="false"/>
                <w:bCs w:val="false"/>
                <w:color w:val="111827"/>
                <w:sz w:val="20"/>
                <w:szCs w:val="20"/>
              </w:rPr>
              <w:t xml:space="preserve">AI Coding Agent (MCP-integrated)</w:t>
            </w:r>
          </w:p>
        </w:tc>
      </w:tr>
      <w:tr>
        <w:tc>
          <w:tcPr>
            <w:tcW w:type="dxa" w:w="2600"/>
            <w:shd w:fill="1F2937" w:val="clear"/>
            <w:tcMar>
              <w:top w:type="dxa" w:w="100"/>
              <w:left w:type="dxa" w:w="120"/>
              <w:bottom w:type="dxa" w:w="100"/>
              <w:right w:type="dxa" w:w="120"/>
            </w:tcMar>
          </w:tcPr>
          <w:p>
            <w:r>
              <w:rPr>
                <w:b/>
                <w:bCs/>
                <w:color w:val="FFFFFF"/>
                <w:sz w:val="20"/>
                <w:szCs w:val="20"/>
              </w:rPr>
              <w:t xml:space="preserve">Description</w:t>
            </w:r>
          </w:p>
        </w:tc>
        <w:tc>
          <w:tcPr>
            <w:tcW w:type="dxa" w:w="6750"/>
            <w:tcMar>
              <w:top w:type="dxa" w:w="100"/>
              <w:left w:type="dxa" w:w="120"/>
              <w:bottom w:type="dxa" w:w="100"/>
              <w:right w:type="dxa" w:w="120"/>
            </w:tcMar>
          </w:tcPr>
          <w:p>
            <w:r>
              <w:rPr>
                <w:b w:val="false"/>
                <w:bCs w:val="false"/>
                <w:color w:val="111827"/>
                <w:sz w:val="20"/>
                <w:szCs w:val="20"/>
              </w:rPr>
              <w:t xml:space="preserve">Nimbus's engineers use an AI coding agent connected to internal tools (repos, terminals, deployment scripts) via MCP. A malicious or compromised MCP server, or crafted STDIO input, could trigger unintended command execution on engineering machines.</w:t>
            </w:r>
          </w:p>
        </w:tc>
      </w:tr>
      <w:tr>
        <w:tc>
          <w:tcPr>
            <w:tcW w:type="dxa" w:w="2600"/>
            <w:shd w:fill="1F2937" w:val="clear"/>
            <w:tcMar>
              <w:top w:type="dxa" w:w="100"/>
              <w:left w:type="dxa" w:w="120"/>
              <w:bottom w:type="dxa" w:w="100"/>
              <w:right w:type="dxa" w:w="120"/>
            </w:tcMar>
          </w:tcPr>
          <w:p>
            <w:r>
              <w:rPr>
                <w:b/>
                <w:bCs/>
                <w:color w:val="FFFFFF"/>
                <w:sz w:val="20"/>
                <w:szCs w:val="20"/>
              </w:rPr>
              <w:t xml:space="preserve">Related Incident</w:t>
            </w:r>
          </w:p>
        </w:tc>
        <w:tc>
          <w:tcPr>
            <w:tcW w:type="dxa" w:w="6750"/>
            <w:tcMar>
              <w:top w:type="dxa" w:w="100"/>
              <w:left w:type="dxa" w:w="120"/>
              <w:bottom w:type="dxa" w:w="100"/>
              <w:right w:type="dxa" w:w="120"/>
            </w:tcMar>
          </w:tcPr>
          <w:p>
            <w:r>
              <w:rPr>
                <w:b w:val="false"/>
                <w:bCs w:val="false"/>
                <w:color w:val="111827"/>
                <w:sz w:val="20"/>
                <w:szCs w:val="20"/>
              </w:rPr>
              <w:t xml:space="preserve">OX Security's April 2026 MCP research, showing 200,000+ potentially vulnerable instances across MCP-integrated frameworks and STDIO transport exploitation leading to OS command execution.</w:t>
            </w:r>
          </w:p>
        </w:tc>
      </w:tr>
      <w:tr>
        <w:tc>
          <w:tcPr>
            <w:tcW w:type="dxa" w:w="2600"/>
            <w:shd w:fill="1F2937" w:val="clear"/>
            <w:tcMar>
              <w:top w:type="dxa" w:w="100"/>
              <w:left w:type="dxa" w:w="120"/>
              <w:bottom w:type="dxa" w:w="100"/>
              <w:right w:type="dxa" w:w="120"/>
            </w:tcMar>
          </w:tcPr>
          <w:p>
            <w:r>
              <w:rPr>
                <w:b/>
                <w:bCs/>
                <w:color w:val="FFFFFF"/>
                <w:sz w:val="20"/>
                <w:szCs w:val="20"/>
              </w:rPr>
              <w:t xml:space="preserve">Framework Mapping</w:t>
            </w:r>
          </w:p>
        </w:tc>
        <w:tc>
          <w:tcPr>
            <w:tcW w:type="dxa" w:w="6750"/>
            <w:tcMar>
              <w:top w:type="dxa" w:w="100"/>
              <w:left w:type="dxa" w:w="120"/>
              <w:bottom w:type="dxa" w:w="100"/>
              <w:right w:type="dxa" w:w="120"/>
            </w:tcMar>
          </w:tcPr>
          <w:p>
            <w:r>
              <w:rPr>
                <w:b w:val="false"/>
                <w:bCs w:val="false"/>
                <w:color w:val="111827"/>
                <w:sz w:val="20"/>
                <w:szCs w:val="20"/>
              </w:rPr>
              <w:t xml:space="preserve">OWASP LLM Top 10, LLM03: Supply Chain Vulnerabilities; NIST AI RMF, Govern function</w:t>
            </w:r>
          </w:p>
        </w:tc>
      </w:tr>
      <w:tr>
        <w:tc>
          <w:tcPr>
            <w:tcW w:type="dxa" w:w="2600"/>
            <w:shd w:fill="1F2937" w:val="clear"/>
            <w:tcMar>
              <w:top w:type="dxa" w:w="100"/>
              <w:left w:type="dxa" w:w="120"/>
              <w:bottom w:type="dxa" w:w="100"/>
              <w:right w:type="dxa" w:w="120"/>
            </w:tcMar>
          </w:tcPr>
          <w:p>
            <w:r>
              <w:rPr>
                <w:b/>
                <w:bCs/>
                <w:color w:val="FFFFFF"/>
                <w:sz w:val="20"/>
                <w:szCs w:val="20"/>
              </w:rPr>
              <w:t xml:space="preserve">Likelihood</w:t>
            </w:r>
          </w:p>
        </w:tc>
        <w:tc>
          <w:tcPr>
            <w:tcW w:type="dxa" w:w="6750"/>
            <w:tcMar>
              <w:top w:type="dxa" w:w="100"/>
              <w:left w:type="dxa" w:w="120"/>
              <w:bottom w:type="dxa" w:w="100"/>
              <w:right w:type="dxa" w:w="120"/>
            </w:tcMar>
          </w:tcPr>
          <w:p>
            <w:r>
              <w:rPr>
                <w:b w:val="false"/>
                <w:bCs w:val="false"/>
                <w:color w:val="111827"/>
                <w:sz w:val="20"/>
                <w:szCs w:val="20"/>
              </w:rPr>
              <w:t xml:space="preserve">Medium. Requires a compromised or malicious MCP server to reach an engineer's agent, but MCP adoption is new and poorly vetted industry-wide.</w:t>
            </w:r>
          </w:p>
        </w:tc>
      </w:tr>
      <w:tr>
        <w:tc>
          <w:tcPr>
            <w:tcW w:type="dxa" w:w="2600"/>
            <w:shd w:fill="1F2937" w:val="clear"/>
            <w:tcMar>
              <w:top w:type="dxa" w:w="100"/>
              <w:left w:type="dxa" w:w="120"/>
              <w:bottom w:type="dxa" w:w="100"/>
              <w:right w:type="dxa" w:w="120"/>
            </w:tcMar>
          </w:tcPr>
          <w:p>
            <w:r>
              <w:rPr>
                <w:b/>
                <w:bCs/>
                <w:color w:val="FFFFFF"/>
                <w:sz w:val="20"/>
                <w:szCs w:val="20"/>
              </w:rPr>
              <w:t xml:space="preserve">Impact</w:t>
            </w:r>
          </w:p>
        </w:tc>
        <w:tc>
          <w:tcPr>
            <w:tcW w:type="dxa" w:w="6750"/>
            <w:tcMar>
              <w:top w:type="dxa" w:w="100"/>
              <w:left w:type="dxa" w:w="120"/>
              <w:bottom w:type="dxa" w:w="100"/>
              <w:right w:type="dxa" w:w="120"/>
            </w:tcMar>
          </w:tcPr>
          <w:p>
            <w:r>
              <w:rPr>
                <w:b w:val="false"/>
                <w:bCs w:val="false"/>
                <w:color w:val="111827"/>
                <w:sz w:val="20"/>
                <w:szCs w:val="20"/>
              </w:rPr>
              <w:t xml:space="preserve">High. Successful exploitation could lead to code execution on developer machines with access to source code and deployment credentials.</w:t>
            </w:r>
          </w:p>
        </w:tc>
      </w:tr>
      <w:tr>
        <w:tc>
          <w:tcPr>
            <w:tcW w:type="dxa" w:w="2600"/>
            <w:shd w:fill="1F2937" w:val="clear"/>
            <w:tcMar>
              <w:top w:type="dxa" w:w="100"/>
              <w:left w:type="dxa" w:w="120"/>
              <w:bottom w:type="dxa" w:w="100"/>
              <w:right w:type="dxa" w:w="120"/>
            </w:tcMar>
          </w:tcPr>
          <w:p>
            <w:r>
              <w:rPr>
                <w:b/>
                <w:bCs/>
                <w:color w:val="FFFFFF"/>
                <w:sz w:val="20"/>
                <w:szCs w:val="20"/>
              </w:rPr>
              <w:t xml:space="preserve">Priority</w:t>
            </w:r>
          </w:p>
        </w:tc>
        <w:tc>
          <w:tcPr>
            <w:tcW w:type="dxa" w:w="6750"/>
            <w:tcMar>
              <w:top w:type="dxa" w:w="100"/>
              <w:left w:type="dxa" w:w="120"/>
              <w:bottom w:type="dxa" w:w="100"/>
              <w:right w:type="dxa" w:w="120"/>
            </w:tcMar>
          </w:tcPr>
          <w:p>
            <w:r>
              <w:rPr>
                <w:b w:val="false"/>
                <w:bCs w:val="false"/>
                <w:color w:val="111827"/>
                <w:sz w:val="20"/>
                <w:szCs w:val="20"/>
              </w:rPr>
              <w:t xml:space="preserve">High</w:t>
            </w:r>
          </w:p>
        </w:tc>
      </w:tr>
      <w:tr>
        <w:tc>
          <w:tcPr>
            <w:tcW w:type="dxa" w:w="2600"/>
            <w:shd w:fill="1F2937" w:val="clear"/>
            <w:tcMar>
              <w:top w:type="dxa" w:w="100"/>
              <w:left w:type="dxa" w:w="120"/>
              <w:bottom w:type="dxa" w:w="100"/>
              <w:right w:type="dxa" w:w="120"/>
            </w:tcMar>
          </w:tcPr>
          <w:p>
            <w:r>
              <w:rPr>
                <w:b/>
                <w:bCs/>
                <w:color w:val="FFFFFF"/>
                <w:sz w:val="20"/>
                <w:szCs w:val="20"/>
              </w:rPr>
              <w:t xml:space="preserve">Recommended Mitigation</w:t>
            </w:r>
          </w:p>
        </w:tc>
        <w:tc>
          <w:tcPr>
            <w:tcW w:type="dxa" w:w="6750"/>
            <w:tcMar>
              <w:top w:type="dxa" w:w="100"/>
              <w:left w:type="dxa" w:w="120"/>
              <w:bottom w:type="dxa" w:w="100"/>
              <w:right w:type="dxa" w:w="120"/>
            </w:tcMar>
          </w:tcPr>
          <w:p>
            <w:r>
              <w:rPr>
                <w:b w:val="false"/>
                <w:bCs w:val="false"/>
                <w:color w:val="111827"/>
                <w:sz w:val="20"/>
                <w:szCs w:val="20"/>
              </w:rPr>
              <w:t xml:space="preserve">Maintain an allowlist of approved MCP servers, disable unreviewed STDIO adapters by default, and log every tool call an agent makes for later audit.</w:t>
            </w:r>
          </w:p>
        </w:tc>
      </w:tr>
    </w:tbl>
    <w:p>
      <w:pPr>
        <w:spacing w:after="200"/>
      </w:pPr>
    </w:p>
    <w:p>
      <w:pPr>
        <w:pStyle w:val="Heading2"/>
        <w:spacing w:after="120" w:before="240"/>
      </w:pPr>
      <w:r>
        <w:rPr>
          <w:b/>
          <w:bCs/>
          <w:color w:val="1F2937"/>
          <w:sz w:val="24"/>
          <w:szCs w:val="24"/>
        </w:rPr>
        <w:t xml:space="preserve">R-02: Prompt Injection Leading to Unauthorized Commitments by Support Chatbot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Risk ID</w:t>
            </w:r>
          </w:p>
        </w:tc>
        <w:tc>
          <w:tcPr>
            <w:tcW w:type="dxa" w:w="6750"/>
            <w:tcMar>
              <w:top w:type="dxa" w:w="100"/>
              <w:left w:type="dxa" w:w="120"/>
              <w:bottom w:type="dxa" w:w="100"/>
              <w:right w:type="dxa" w:w="120"/>
            </w:tcMar>
          </w:tcPr>
          <w:p>
            <w:r>
              <w:rPr>
                <w:b w:val="false"/>
                <w:bCs w:val="false"/>
                <w:color w:val="111827"/>
                <w:sz w:val="20"/>
                <w:szCs w:val="20"/>
              </w:rPr>
              <w:t xml:space="preserve">R-02</w:t>
            </w:r>
          </w:p>
        </w:tc>
      </w:tr>
      <w:tr>
        <w:tc>
          <w:tcPr>
            <w:tcW w:type="dxa" w:w="2600"/>
            <w:shd w:fill="1F2937" w:val="clear"/>
            <w:tcMar>
              <w:top w:type="dxa" w:w="100"/>
              <w:left w:type="dxa" w:w="120"/>
              <w:bottom w:type="dxa" w:w="100"/>
              <w:right w:type="dxa" w:w="120"/>
            </w:tcMar>
          </w:tcPr>
          <w:p>
            <w:r>
              <w:rPr>
                <w:b/>
                <w:bCs/>
                <w:color w:val="FFFFFF"/>
                <w:sz w:val="20"/>
                <w:szCs w:val="20"/>
              </w:rPr>
              <w:t xml:space="preserve">Risk Name</w:t>
            </w:r>
          </w:p>
        </w:tc>
        <w:tc>
          <w:tcPr>
            <w:tcW w:type="dxa" w:w="6750"/>
            <w:tcMar>
              <w:top w:type="dxa" w:w="100"/>
              <w:left w:type="dxa" w:w="120"/>
              <w:bottom w:type="dxa" w:w="100"/>
              <w:right w:type="dxa" w:w="120"/>
            </w:tcMar>
          </w:tcPr>
          <w:p>
            <w:r>
              <w:rPr>
                <w:b w:val="false"/>
                <w:bCs w:val="false"/>
                <w:color w:val="111827"/>
                <w:sz w:val="20"/>
                <w:szCs w:val="20"/>
              </w:rPr>
              <w:t xml:space="preserve">Prompt Injection Leading to Unauthorized Commitments by Support Chatbot</w:t>
            </w:r>
          </w:p>
        </w:tc>
      </w:tr>
      <w:tr>
        <w:tc>
          <w:tcPr>
            <w:tcW w:type="dxa" w:w="2600"/>
            <w:shd w:fill="1F2937" w:val="clear"/>
            <w:tcMar>
              <w:top w:type="dxa" w:w="100"/>
              <w:left w:type="dxa" w:w="120"/>
              <w:bottom w:type="dxa" w:w="100"/>
              <w:right w:type="dxa" w:w="120"/>
            </w:tcMar>
          </w:tcPr>
          <w:p>
            <w:r>
              <w:rPr>
                <w:b/>
                <w:bCs/>
                <w:color w:val="FFFFFF"/>
                <w:sz w:val="20"/>
                <w:szCs w:val="20"/>
              </w:rPr>
              <w:t xml:space="preserve">Affected AI System</w:t>
            </w:r>
          </w:p>
        </w:tc>
        <w:tc>
          <w:tcPr>
            <w:tcW w:type="dxa" w:w="6750"/>
            <w:tcMar>
              <w:top w:type="dxa" w:w="100"/>
              <w:left w:type="dxa" w:w="120"/>
              <w:bottom w:type="dxa" w:w="100"/>
              <w:right w:type="dxa" w:w="120"/>
            </w:tcMar>
          </w:tcPr>
          <w:p>
            <w:r>
              <w:rPr>
                <w:b w:val="false"/>
                <w:bCs w:val="false"/>
                <w:color w:val="111827"/>
                <w:sz w:val="20"/>
                <w:szCs w:val="20"/>
              </w:rPr>
              <w:t xml:space="preserve">Customer-Facing Support Chatbot</w:t>
            </w:r>
          </w:p>
        </w:tc>
      </w:tr>
      <w:tr>
        <w:tc>
          <w:tcPr>
            <w:tcW w:type="dxa" w:w="2600"/>
            <w:shd w:fill="1F2937" w:val="clear"/>
            <w:tcMar>
              <w:top w:type="dxa" w:w="100"/>
              <w:left w:type="dxa" w:w="120"/>
              <w:bottom w:type="dxa" w:w="100"/>
              <w:right w:type="dxa" w:w="120"/>
            </w:tcMar>
          </w:tcPr>
          <w:p>
            <w:r>
              <w:rPr>
                <w:b/>
                <w:bCs/>
                <w:color w:val="FFFFFF"/>
                <w:sz w:val="20"/>
                <w:szCs w:val="20"/>
              </w:rPr>
              <w:t xml:space="preserve">Description</w:t>
            </w:r>
          </w:p>
        </w:tc>
        <w:tc>
          <w:tcPr>
            <w:tcW w:type="dxa" w:w="6750"/>
            <w:tcMar>
              <w:top w:type="dxa" w:w="100"/>
              <w:left w:type="dxa" w:w="120"/>
              <w:bottom w:type="dxa" w:w="100"/>
              <w:right w:type="dxa" w:w="120"/>
            </w:tcMar>
          </w:tcPr>
          <w:p>
            <w:r>
              <w:rPr>
                <w:b w:val="false"/>
                <w:bCs w:val="false"/>
                <w:color w:val="111827"/>
                <w:sz w:val="20"/>
                <w:szCs w:val="20"/>
              </w:rPr>
              <w:t xml:space="preserve">A customer could manipulate Nimbus's support chatbot into agreeing to terms, discounts, or commitments outside company policy by instructing it to treat its own responses as binding.</w:t>
            </w:r>
          </w:p>
        </w:tc>
      </w:tr>
      <w:tr>
        <w:tc>
          <w:tcPr>
            <w:tcW w:type="dxa" w:w="2600"/>
            <w:shd w:fill="1F2937" w:val="clear"/>
            <w:tcMar>
              <w:top w:type="dxa" w:w="100"/>
              <w:left w:type="dxa" w:w="120"/>
              <w:bottom w:type="dxa" w:w="100"/>
              <w:right w:type="dxa" w:w="120"/>
            </w:tcMar>
          </w:tcPr>
          <w:p>
            <w:r>
              <w:rPr>
                <w:b/>
                <w:bCs/>
                <w:color w:val="FFFFFF"/>
                <w:sz w:val="20"/>
                <w:szCs w:val="20"/>
              </w:rPr>
              <w:t xml:space="preserve">Related Incident</w:t>
            </w:r>
          </w:p>
        </w:tc>
        <w:tc>
          <w:tcPr>
            <w:tcW w:type="dxa" w:w="6750"/>
            <w:tcMar>
              <w:top w:type="dxa" w:w="100"/>
              <w:left w:type="dxa" w:w="120"/>
              <w:bottom w:type="dxa" w:w="100"/>
              <w:right w:type="dxa" w:w="120"/>
            </w:tcMar>
          </w:tcPr>
          <w:p>
            <w:r>
              <w:rPr>
                <w:b w:val="false"/>
                <w:bCs w:val="false"/>
                <w:color w:val="111827"/>
                <w:sz w:val="20"/>
                <w:szCs w:val="20"/>
              </w:rPr>
              <w:t xml:space="preserve">The December 2023 Chevrolet dealership chatbot incident, where a user got the bot to agree to sell a vehicle for one dollar by instructing it to treat its answers as legally binding.</w:t>
            </w:r>
          </w:p>
        </w:tc>
      </w:tr>
      <w:tr>
        <w:tc>
          <w:tcPr>
            <w:tcW w:type="dxa" w:w="2600"/>
            <w:shd w:fill="1F2937" w:val="clear"/>
            <w:tcMar>
              <w:top w:type="dxa" w:w="100"/>
              <w:left w:type="dxa" w:w="120"/>
              <w:bottom w:type="dxa" w:w="100"/>
              <w:right w:type="dxa" w:w="120"/>
            </w:tcMar>
          </w:tcPr>
          <w:p>
            <w:r>
              <w:rPr>
                <w:b/>
                <w:bCs/>
                <w:color w:val="FFFFFF"/>
                <w:sz w:val="20"/>
                <w:szCs w:val="20"/>
              </w:rPr>
              <w:t xml:space="preserve">Framework Mapping</w:t>
            </w:r>
          </w:p>
        </w:tc>
        <w:tc>
          <w:tcPr>
            <w:tcW w:type="dxa" w:w="6750"/>
            <w:tcMar>
              <w:top w:type="dxa" w:w="100"/>
              <w:left w:type="dxa" w:w="120"/>
              <w:bottom w:type="dxa" w:w="100"/>
              <w:right w:type="dxa" w:w="120"/>
            </w:tcMar>
          </w:tcPr>
          <w:p>
            <w:r>
              <w:rPr>
                <w:b w:val="false"/>
                <w:bCs w:val="false"/>
                <w:color w:val="111827"/>
                <w:sz w:val="20"/>
                <w:szCs w:val="20"/>
              </w:rPr>
              <w:t xml:space="preserve">OWASP LLM Top 10, LLM01: Prompt Injection</w:t>
            </w:r>
          </w:p>
        </w:tc>
      </w:tr>
      <w:tr>
        <w:tc>
          <w:tcPr>
            <w:tcW w:type="dxa" w:w="2600"/>
            <w:shd w:fill="1F2937" w:val="clear"/>
            <w:tcMar>
              <w:top w:type="dxa" w:w="100"/>
              <w:left w:type="dxa" w:w="120"/>
              <w:bottom w:type="dxa" w:w="100"/>
              <w:right w:type="dxa" w:w="120"/>
            </w:tcMar>
          </w:tcPr>
          <w:p>
            <w:r>
              <w:rPr>
                <w:b/>
                <w:bCs/>
                <w:color w:val="FFFFFF"/>
                <w:sz w:val="20"/>
                <w:szCs w:val="20"/>
              </w:rPr>
              <w:t xml:space="preserve">Likelihood</w:t>
            </w:r>
          </w:p>
        </w:tc>
        <w:tc>
          <w:tcPr>
            <w:tcW w:type="dxa" w:w="6750"/>
            <w:tcMar>
              <w:top w:type="dxa" w:w="100"/>
              <w:left w:type="dxa" w:w="120"/>
              <w:bottom w:type="dxa" w:w="100"/>
              <w:right w:type="dxa" w:w="120"/>
            </w:tcMar>
          </w:tcPr>
          <w:p>
            <w:r>
              <w:rPr>
                <w:b w:val="false"/>
                <w:bCs w:val="false"/>
                <w:color w:val="111827"/>
                <w:sz w:val="20"/>
                <w:szCs w:val="20"/>
              </w:rPr>
              <w:t xml:space="preserve">Medium. This is a low-effort, publicly known technique any customer could attempt.</w:t>
            </w:r>
          </w:p>
        </w:tc>
      </w:tr>
      <w:tr>
        <w:tc>
          <w:tcPr>
            <w:tcW w:type="dxa" w:w="2600"/>
            <w:shd w:fill="1F2937" w:val="clear"/>
            <w:tcMar>
              <w:top w:type="dxa" w:w="100"/>
              <w:left w:type="dxa" w:w="120"/>
              <w:bottom w:type="dxa" w:w="100"/>
              <w:right w:type="dxa" w:w="120"/>
            </w:tcMar>
          </w:tcPr>
          <w:p>
            <w:r>
              <w:rPr>
                <w:b/>
                <w:bCs/>
                <w:color w:val="FFFFFF"/>
                <w:sz w:val="20"/>
                <w:szCs w:val="20"/>
              </w:rPr>
              <w:t xml:space="preserve">Impact</w:t>
            </w:r>
          </w:p>
        </w:tc>
        <w:tc>
          <w:tcPr>
            <w:tcW w:type="dxa" w:w="6750"/>
            <w:tcMar>
              <w:top w:type="dxa" w:w="100"/>
              <w:left w:type="dxa" w:w="120"/>
              <w:bottom w:type="dxa" w:w="100"/>
              <w:right w:type="dxa" w:w="120"/>
            </w:tcMar>
          </w:tcPr>
          <w:p>
            <w:r>
              <w:rPr>
                <w:b w:val="false"/>
                <w:bCs w:val="false"/>
                <w:color w:val="111827"/>
                <w:sz w:val="20"/>
                <w:szCs w:val="20"/>
              </w:rPr>
              <w:t xml:space="preserve">Medium. Financial exposure is likely limited per incident, but reputational damage from a viral screenshot could be significant.</w:t>
            </w:r>
          </w:p>
        </w:tc>
      </w:tr>
      <w:tr>
        <w:tc>
          <w:tcPr>
            <w:tcW w:type="dxa" w:w="2600"/>
            <w:shd w:fill="1F2937" w:val="clear"/>
            <w:tcMar>
              <w:top w:type="dxa" w:w="100"/>
              <w:left w:type="dxa" w:w="120"/>
              <w:bottom w:type="dxa" w:w="100"/>
              <w:right w:type="dxa" w:w="120"/>
            </w:tcMar>
          </w:tcPr>
          <w:p>
            <w:r>
              <w:rPr>
                <w:b/>
                <w:bCs/>
                <w:color w:val="FFFFFF"/>
                <w:sz w:val="20"/>
                <w:szCs w:val="20"/>
              </w:rPr>
              <w:t xml:space="preserve">Priority</w:t>
            </w:r>
          </w:p>
        </w:tc>
        <w:tc>
          <w:tcPr>
            <w:tcW w:type="dxa" w:w="6750"/>
            <w:tcMar>
              <w:top w:type="dxa" w:w="100"/>
              <w:left w:type="dxa" w:w="120"/>
              <w:bottom w:type="dxa" w:w="100"/>
              <w:right w:type="dxa" w:w="120"/>
            </w:tcMar>
          </w:tcPr>
          <w:p>
            <w:r>
              <w:rPr>
                <w:b w:val="false"/>
                <w:bCs w:val="false"/>
                <w:color w:val="111827"/>
                <w:sz w:val="20"/>
                <w:szCs w:val="20"/>
              </w:rPr>
              <w:t xml:space="preserve">Medium</w:t>
            </w:r>
          </w:p>
        </w:tc>
      </w:tr>
      <w:tr>
        <w:tc>
          <w:tcPr>
            <w:tcW w:type="dxa" w:w="2600"/>
            <w:shd w:fill="1F2937" w:val="clear"/>
            <w:tcMar>
              <w:top w:type="dxa" w:w="100"/>
              <w:left w:type="dxa" w:w="120"/>
              <w:bottom w:type="dxa" w:w="100"/>
              <w:right w:type="dxa" w:w="120"/>
            </w:tcMar>
          </w:tcPr>
          <w:p>
            <w:r>
              <w:rPr>
                <w:b/>
                <w:bCs/>
                <w:color w:val="FFFFFF"/>
                <w:sz w:val="20"/>
                <w:szCs w:val="20"/>
              </w:rPr>
              <w:t xml:space="preserve">Recommended Mitigation</w:t>
            </w:r>
          </w:p>
        </w:tc>
        <w:tc>
          <w:tcPr>
            <w:tcW w:type="dxa" w:w="6750"/>
            <w:tcMar>
              <w:top w:type="dxa" w:w="100"/>
              <w:left w:type="dxa" w:w="120"/>
              <w:bottom w:type="dxa" w:w="100"/>
              <w:right w:type="dxa" w:w="120"/>
            </w:tcMar>
          </w:tcPr>
          <w:p>
            <w:r>
              <w:rPr>
                <w:b w:val="false"/>
                <w:bCs w:val="false"/>
                <w:color w:val="111827"/>
                <w:sz w:val="20"/>
                <w:szCs w:val="20"/>
              </w:rPr>
              <w:t xml:space="preserve">Constrain the chatbot's output to pre-approved response templates for anything involving pricing, discounts, or contractual language, and require human approval before any commitment is finalized.</w:t>
            </w:r>
          </w:p>
        </w:tc>
      </w:tr>
    </w:tbl>
    <w:p>
      <w:pPr>
        <w:spacing w:after="200"/>
      </w:pPr>
    </w:p>
    <w:p>
      <w:pPr>
        <w:pStyle w:val="Heading2"/>
        <w:spacing w:after="120" w:before="240"/>
      </w:pPr>
      <w:r>
        <w:rPr>
          <w:b/>
          <w:bCs/>
          <w:color w:val="1F2937"/>
          <w:sz w:val="24"/>
          <w:szCs w:val="24"/>
        </w:rPr>
        <w:t xml:space="preserve">R-03: Hallucinated Support Guidance Creating Legal or Financial Liability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Risk ID</w:t>
            </w:r>
          </w:p>
        </w:tc>
        <w:tc>
          <w:tcPr>
            <w:tcW w:type="dxa" w:w="6750"/>
            <w:tcMar>
              <w:top w:type="dxa" w:w="100"/>
              <w:left w:type="dxa" w:w="120"/>
              <w:bottom w:type="dxa" w:w="100"/>
              <w:right w:type="dxa" w:w="120"/>
            </w:tcMar>
          </w:tcPr>
          <w:p>
            <w:r>
              <w:rPr>
                <w:b w:val="false"/>
                <w:bCs w:val="false"/>
                <w:color w:val="111827"/>
                <w:sz w:val="20"/>
                <w:szCs w:val="20"/>
              </w:rPr>
              <w:t xml:space="preserve">R-03</w:t>
            </w:r>
          </w:p>
        </w:tc>
      </w:tr>
      <w:tr>
        <w:tc>
          <w:tcPr>
            <w:tcW w:type="dxa" w:w="2600"/>
            <w:shd w:fill="1F2937" w:val="clear"/>
            <w:tcMar>
              <w:top w:type="dxa" w:w="100"/>
              <w:left w:type="dxa" w:w="120"/>
              <w:bottom w:type="dxa" w:w="100"/>
              <w:right w:type="dxa" w:w="120"/>
            </w:tcMar>
          </w:tcPr>
          <w:p>
            <w:r>
              <w:rPr>
                <w:b/>
                <w:bCs/>
                <w:color w:val="FFFFFF"/>
                <w:sz w:val="20"/>
                <w:szCs w:val="20"/>
              </w:rPr>
              <w:t xml:space="preserve">Risk Name</w:t>
            </w:r>
          </w:p>
        </w:tc>
        <w:tc>
          <w:tcPr>
            <w:tcW w:type="dxa" w:w="6750"/>
            <w:tcMar>
              <w:top w:type="dxa" w:w="100"/>
              <w:left w:type="dxa" w:w="120"/>
              <w:bottom w:type="dxa" w:w="100"/>
              <w:right w:type="dxa" w:w="120"/>
            </w:tcMar>
          </w:tcPr>
          <w:p>
            <w:r>
              <w:rPr>
                <w:b w:val="false"/>
                <w:bCs w:val="false"/>
                <w:color w:val="111827"/>
                <w:sz w:val="20"/>
                <w:szCs w:val="20"/>
              </w:rPr>
              <w:t xml:space="preserve">Hallucinated Support Guidance Creating Legal or Financial Liability</w:t>
            </w:r>
          </w:p>
        </w:tc>
      </w:tr>
      <w:tr>
        <w:tc>
          <w:tcPr>
            <w:tcW w:type="dxa" w:w="2600"/>
            <w:shd w:fill="1F2937" w:val="clear"/>
            <w:tcMar>
              <w:top w:type="dxa" w:w="100"/>
              <w:left w:type="dxa" w:w="120"/>
              <w:bottom w:type="dxa" w:w="100"/>
              <w:right w:type="dxa" w:w="120"/>
            </w:tcMar>
          </w:tcPr>
          <w:p>
            <w:r>
              <w:rPr>
                <w:b/>
                <w:bCs/>
                <w:color w:val="FFFFFF"/>
                <w:sz w:val="20"/>
                <w:szCs w:val="20"/>
              </w:rPr>
              <w:t xml:space="preserve">Affected AI System</w:t>
            </w:r>
          </w:p>
        </w:tc>
        <w:tc>
          <w:tcPr>
            <w:tcW w:type="dxa" w:w="6750"/>
            <w:tcMar>
              <w:top w:type="dxa" w:w="100"/>
              <w:left w:type="dxa" w:w="120"/>
              <w:bottom w:type="dxa" w:w="100"/>
              <w:right w:type="dxa" w:w="120"/>
            </w:tcMar>
          </w:tcPr>
          <w:p>
            <w:r>
              <w:rPr>
                <w:b w:val="false"/>
                <w:bCs w:val="false"/>
                <w:color w:val="111827"/>
                <w:sz w:val="20"/>
                <w:szCs w:val="20"/>
              </w:rPr>
              <w:t xml:space="preserve">Customer-Facing Support Chatbot</w:t>
            </w:r>
          </w:p>
        </w:tc>
      </w:tr>
      <w:tr>
        <w:tc>
          <w:tcPr>
            <w:tcW w:type="dxa" w:w="2600"/>
            <w:shd w:fill="1F2937" w:val="clear"/>
            <w:tcMar>
              <w:top w:type="dxa" w:w="100"/>
              <w:left w:type="dxa" w:w="120"/>
              <w:bottom w:type="dxa" w:w="100"/>
              <w:right w:type="dxa" w:w="120"/>
            </w:tcMar>
          </w:tcPr>
          <w:p>
            <w:r>
              <w:rPr>
                <w:b/>
                <w:bCs/>
                <w:color w:val="FFFFFF"/>
                <w:sz w:val="20"/>
                <w:szCs w:val="20"/>
              </w:rPr>
              <w:t xml:space="preserve">Description</w:t>
            </w:r>
          </w:p>
        </w:tc>
        <w:tc>
          <w:tcPr>
            <w:tcW w:type="dxa" w:w="6750"/>
            <w:tcMar>
              <w:top w:type="dxa" w:w="100"/>
              <w:left w:type="dxa" w:w="120"/>
              <w:bottom w:type="dxa" w:w="100"/>
              <w:right w:type="dxa" w:w="120"/>
            </w:tcMar>
          </w:tcPr>
          <w:p>
            <w:r>
              <w:rPr>
                <w:b w:val="false"/>
                <w:bCs w:val="false"/>
                <w:color w:val="111827"/>
                <w:sz w:val="20"/>
                <w:szCs w:val="20"/>
              </w:rPr>
              <w:t xml:space="preserve">The chatbot could provide incorrect guidance about refund policies, SLAs, or support processes that customers rely on, creating liability if Nimbus later disputes what the bot said.</w:t>
            </w:r>
          </w:p>
        </w:tc>
      </w:tr>
      <w:tr>
        <w:tc>
          <w:tcPr>
            <w:tcW w:type="dxa" w:w="2600"/>
            <w:shd w:fill="1F2937" w:val="clear"/>
            <w:tcMar>
              <w:top w:type="dxa" w:w="100"/>
              <w:left w:type="dxa" w:w="120"/>
              <w:bottom w:type="dxa" w:w="100"/>
              <w:right w:type="dxa" w:w="120"/>
            </w:tcMar>
          </w:tcPr>
          <w:p>
            <w:r>
              <w:rPr>
                <w:b/>
                <w:bCs/>
                <w:color w:val="FFFFFF"/>
                <w:sz w:val="20"/>
                <w:szCs w:val="20"/>
              </w:rPr>
              <w:t xml:space="preserve">Related Incident</w:t>
            </w:r>
          </w:p>
        </w:tc>
        <w:tc>
          <w:tcPr>
            <w:tcW w:type="dxa" w:w="6750"/>
            <w:tcMar>
              <w:top w:type="dxa" w:w="100"/>
              <w:left w:type="dxa" w:w="120"/>
              <w:bottom w:type="dxa" w:w="100"/>
              <w:right w:type="dxa" w:w="120"/>
            </w:tcMar>
          </w:tcPr>
          <w:p>
            <w:r>
              <w:rPr>
                <w:b w:val="false"/>
                <w:bCs w:val="false"/>
                <w:color w:val="111827"/>
                <w:sz w:val="20"/>
                <w:szCs w:val="20"/>
              </w:rPr>
              <w:t xml:space="preserve">The Air Canada bereavement fare case, where a tribunal held the airline responsible for its chatbot's inaccurate guidance and ordered damages, rejecting the argument that the chatbot was a separate legal entity.</w:t>
            </w:r>
          </w:p>
        </w:tc>
      </w:tr>
      <w:tr>
        <w:tc>
          <w:tcPr>
            <w:tcW w:type="dxa" w:w="2600"/>
            <w:shd w:fill="1F2937" w:val="clear"/>
            <w:tcMar>
              <w:top w:type="dxa" w:w="100"/>
              <w:left w:type="dxa" w:w="120"/>
              <w:bottom w:type="dxa" w:w="100"/>
              <w:right w:type="dxa" w:w="120"/>
            </w:tcMar>
          </w:tcPr>
          <w:p>
            <w:r>
              <w:rPr>
                <w:b/>
                <w:bCs/>
                <w:color w:val="FFFFFF"/>
                <w:sz w:val="20"/>
                <w:szCs w:val="20"/>
              </w:rPr>
              <w:t xml:space="preserve">Framework Mapping</w:t>
            </w:r>
          </w:p>
        </w:tc>
        <w:tc>
          <w:tcPr>
            <w:tcW w:type="dxa" w:w="6750"/>
            <w:tcMar>
              <w:top w:type="dxa" w:w="100"/>
              <w:left w:type="dxa" w:w="120"/>
              <w:bottom w:type="dxa" w:w="100"/>
              <w:right w:type="dxa" w:w="120"/>
            </w:tcMar>
          </w:tcPr>
          <w:p>
            <w:r>
              <w:rPr>
                <w:b w:val="false"/>
                <w:bCs w:val="false"/>
                <w:color w:val="111827"/>
                <w:sz w:val="20"/>
                <w:szCs w:val="20"/>
              </w:rPr>
              <w:t xml:space="preserve">OWASP LLM Top 10, LLM09: Misinformation; NIST AI RMF, Measure function</w:t>
            </w:r>
          </w:p>
        </w:tc>
      </w:tr>
      <w:tr>
        <w:tc>
          <w:tcPr>
            <w:tcW w:type="dxa" w:w="2600"/>
            <w:shd w:fill="1F2937" w:val="clear"/>
            <w:tcMar>
              <w:top w:type="dxa" w:w="100"/>
              <w:left w:type="dxa" w:w="120"/>
              <w:bottom w:type="dxa" w:w="100"/>
              <w:right w:type="dxa" w:w="120"/>
            </w:tcMar>
          </w:tcPr>
          <w:p>
            <w:r>
              <w:rPr>
                <w:b/>
                <w:bCs/>
                <w:color w:val="FFFFFF"/>
                <w:sz w:val="20"/>
                <w:szCs w:val="20"/>
              </w:rPr>
              <w:t xml:space="preserve">Likelihood</w:t>
            </w:r>
          </w:p>
        </w:tc>
        <w:tc>
          <w:tcPr>
            <w:tcW w:type="dxa" w:w="6750"/>
            <w:tcMar>
              <w:top w:type="dxa" w:w="100"/>
              <w:left w:type="dxa" w:w="120"/>
              <w:bottom w:type="dxa" w:w="100"/>
              <w:right w:type="dxa" w:w="120"/>
            </w:tcMar>
          </w:tcPr>
          <w:p>
            <w:r>
              <w:rPr>
                <w:b w:val="false"/>
                <w:bCs w:val="false"/>
                <w:color w:val="111827"/>
                <w:sz w:val="20"/>
                <w:szCs w:val="20"/>
              </w:rPr>
              <w:t xml:space="preserve">Medium. Any customer-facing chatbot answering policy questions carries this risk continuously.</w:t>
            </w:r>
          </w:p>
        </w:tc>
      </w:tr>
      <w:tr>
        <w:tc>
          <w:tcPr>
            <w:tcW w:type="dxa" w:w="2600"/>
            <w:shd w:fill="1F2937" w:val="clear"/>
            <w:tcMar>
              <w:top w:type="dxa" w:w="100"/>
              <w:left w:type="dxa" w:w="120"/>
              <w:bottom w:type="dxa" w:w="100"/>
              <w:right w:type="dxa" w:w="120"/>
            </w:tcMar>
          </w:tcPr>
          <w:p>
            <w:r>
              <w:rPr>
                <w:b/>
                <w:bCs/>
                <w:color w:val="FFFFFF"/>
                <w:sz w:val="20"/>
                <w:szCs w:val="20"/>
              </w:rPr>
              <w:t xml:space="preserve">Impact</w:t>
            </w:r>
          </w:p>
        </w:tc>
        <w:tc>
          <w:tcPr>
            <w:tcW w:type="dxa" w:w="6750"/>
            <w:tcMar>
              <w:top w:type="dxa" w:w="100"/>
              <w:left w:type="dxa" w:w="120"/>
              <w:bottom w:type="dxa" w:w="100"/>
              <w:right w:type="dxa" w:w="120"/>
            </w:tcMar>
          </w:tcPr>
          <w:p>
            <w:r>
              <w:rPr>
                <w:b w:val="false"/>
                <w:bCs w:val="false"/>
                <w:color w:val="111827"/>
                <w:sz w:val="20"/>
                <w:szCs w:val="20"/>
              </w:rPr>
              <w:t xml:space="preserve">Medium. Individual claims are likely small, but the legal precedent means Nimbus cannot disclaim responsibility for what the bot says.</w:t>
            </w:r>
          </w:p>
        </w:tc>
      </w:tr>
      <w:tr>
        <w:tc>
          <w:tcPr>
            <w:tcW w:type="dxa" w:w="2600"/>
            <w:shd w:fill="1F2937" w:val="clear"/>
            <w:tcMar>
              <w:top w:type="dxa" w:w="100"/>
              <w:left w:type="dxa" w:w="120"/>
              <w:bottom w:type="dxa" w:w="100"/>
              <w:right w:type="dxa" w:w="120"/>
            </w:tcMar>
          </w:tcPr>
          <w:p>
            <w:r>
              <w:rPr>
                <w:b/>
                <w:bCs/>
                <w:color w:val="FFFFFF"/>
                <w:sz w:val="20"/>
                <w:szCs w:val="20"/>
              </w:rPr>
              <w:t xml:space="preserve">Priority</w:t>
            </w:r>
          </w:p>
        </w:tc>
        <w:tc>
          <w:tcPr>
            <w:tcW w:type="dxa" w:w="6750"/>
            <w:tcMar>
              <w:top w:type="dxa" w:w="100"/>
              <w:left w:type="dxa" w:w="120"/>
              <w:bottom w:type="dxa" w:w="100"/>
              <w:right w:type="dxa" w:w="120"/>
            </w:tcMar>
          </w:tcPr>
          <w:p>
            <w:r>
              <w:rPr>
                <w:b w:val="false"/>
                <w:bCs w:val="false"/>
                <w:color w:val="111827"/>
                <w:sz w:val="20"/>
                <w:szCs w:val="20"/>
              </w:rPr>
              <w:t xml:space="preserve">Medium</w:t>
            </w:r>
          </w:p>
        </w:tc>
      </w:tr>
      <w:tr>
        <w:tc>
          <w:tcPr>
            <w:tcW w:type="dxa" w:w="2600"/>
            <w:shd w:fill="1F2937" w:val="clear"/>
            <w:tcMar>
              <w:top w:type="dxa" w:w="100"/>
              <w:left w:type="dxa" w:w="120"/>
              <w:bottom w:type="dxa" w:w="100"/>
              <w:right w:type="dxa" w:w="120"/>
            </w:tcMar>
          </w:tcPr>
          <w:p>
            <w:r>
              <w:rPr>
                <w:b/>
                <w:bCs/>
                <w:color w:val="FFFFFF"/>
                <w:sz w:val="20"/>
                <w:szCs w:val="20"/>
              </w:rPr>
              <w:t xml:space="preserve">Recommended Mitigation</w:t>
            </w:r>
          </w:p>
        </w:tc>
        <w:tc>
          <w:tcPr>
            <w:tcW w:type="dxa" w:w="6750"/>
            <w:tcMar>
              <w:top w:type="dxa" w:w="100"/>
              <w:left w:type="dxa" w:w="120"/>
              <w:bottom w:type="dxa" w:w="100"/>
              <w:right w:type="dxa" w:w="120"/>
            </w:tcMar>
          </w:tcPr>
          <w:p>
            <w:r>
              <w:rPr>
                <w:b w:val="false"/>
                <w:bCs w:val="false"/>
                <w:color w:val="111827"/>
                <w:sz w:val="20"/>
                <w:szCs w:val="20"/>
              </w:rPr>
              <w:t xml:space="preserve">Retain full, tamper-resistant chatbot conversation logs, restrict the bot to citing verified policy documents rather than generating policy language freely, and route ambiguous questions to a human.</w:t>
            </w:r>
          </w:p>
        </w:tc>
      </w:tr>
    </w:tbl>
    <w:p>
      <w:pPr>
        <w:spacing w:after="200"/>
      </w:pPr>
    </w:p>
    <w:p>
      <w:pPr>
        <w:pStyle w:val="Heading2"/>
        <w:spacing w:after="120" w:before="240"/>
      </w:pPr>
      <w:r>
        <w:rPr>
          <w:b/>
          <w:bCs/>
          <w:color w:val="1F2937"/>
          <w:sz w:val="24"/>
          <w:szCs w:val="24"/>
        </w:rPr>
        <w:t xml:space="preserve">R-04: Autonomous Agent Misuse for Large-Scale Malicious Activity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Risk ID</w:t>
            </w:r>
          </w:p>
        </w:tc>
        <w:tc>
          <w:tcPr>
            <w:tcW w:type="dxa" w:w="6750"/>
            <w:tcMar>
              <w:top w:type="dxa" w:w="100"/>
              <w:left w:type="dxa" w:w="120"/>
              <w:bottom w:type="dxa" w:w="100"/>
              <w:right w:type="dxa" w:w="120"/>
            </w:tcMar>
          </w:tcPr>
          <w:p>
            <w:r>
              <w:rPr>
                <w:b w:val="false"/>
                <w:bCs w:val="false"/>
                <w:color w:val="111827"/>
                <w:sz w:val="20"/>
                <w:szCs w:val="20"/>
              </w:rPr>
              <w:t xml:space="preserve">R-04</w:t>
            </w:r>
          </w:p>
        </w:tc>
      </w:tr>
      <w:tr>
        <w:tc>
          <w:tcPr>
            <w:tcW w:type="dxa" w:w="2600"/>
            <w:shd w:fill="1F2937" w:val="clear"/>
            <w:tcMar>
              <w:top w:type="dxa" w:w="100"/>
              <w:left w:type="dxa" w:w="120"/>
              <w:bottom w:type="dxa" w:w="100"/>
              <w:right w:type="dxa" w:w="120"/>
            </w:tcMar>
          </w:tcPr>
          <w:p>
            <w:r>
              <w:rPr>
                <w:b/>
                <w:bCs/>
                <w:color w:val="FFFFFF"/>
                <w:sz w:val="20"/>
                <w:szCs w:val="20"/>
              </w:rPr>
              <w:t xml:space="preserve">Risk Name</w:t>
            </w:r>
          </w:p>
        </w:tc>
        <w:tc>
          <w:tcPr>
            <w:tcW w:type="dxa" w:w="6750"/>
            <w:tcMar>
              <w:top w:type="dxa" w:w="100"/>
              <w:left w:type="dxa" w:w="120"/>
              <w:bottom w:type="dxa" w:w="100"/>
              <w:right w:type="dxa" w:w="120"/>
            </w:tcMar>
          </w:tcPr>
          <w:p>
            <w:r>
              <w:rPr>
                <w:b w:val="false"/>
                <w:bCs w:val="false"/>
                <w:color w:val="111827"/>
                <w:sz w:val="20"/>
                <w:szCs w:val="20"/>
              </w:rPr>
              <w:t xml:space="preserve">Autonomous Agent Misuse for Large-Scale Malicious Activity</w:t>
            </w:r>
          </w:p>
        </w:tc>
      </w:tr>
      <w:tr>
        <w:tc>
          <w:tcPr>
            <w:tcW w:type="dxa" w:w="2600"/>
            <w:shd w:fill="1F2937" w:val="clear"/>
            <w:tcMar>
              <w:top w:type="dxa" w:w="100"/>
              <w:left w:type="dxa" w:w="120"/>
              <w:bottom w:type="dxa" w:w="100"/>
              <w:right w:type="dxa" w:w="120"/>
            </w:tcMar>
          </w:tcPr>
          <w:p>
            <w:r>
              <w:rPr>
                <w:b/>
                <w:bCs/>
                <w:color w:val="FFFFFF"/>
                <w:sz w:val="20"/>
                <w:szCs w:val="20"/>
              </w:rPr>
              <w:t xml:space="preserve">Affected AI System</w:t>
            </w:r>
          </w:p>
        </w:tc>
        <w:tc>
          <w:tcPr>
            <w:tcW w:type="dxa" w:w="6750"/>
            <w:tcMar>
              <w:top w:type="dxa" w:w="100"/>
              <w:left w:type="dxa" w:w="120"/>
              <w:bottom w:type="dxa" w:w="100"/>
              <w:right w:type="dxa" w:w="120"/>
            </w:tcMar>
          </w:tcPr>
          <w:p>
            <w:r>
              <w:rPr>
                <w:b w:val="false"/>
                <w:bCs w:val="false"/>
                <w:color w:val="111827"/>
                <w:sz w:val="20"/>
                <w:szCs w:val="20"/>
              </w:rPr>
              <w:t xml:space="preserve">Internal AI Incident-Response Agent</w:t>
            </w:r>
          </w:p>
        </w:tc>
      </w:tr>
      <w:tr>
        <w:tc>
          <w:tcPr>
            <w:tcW w:type="dxa" w:w="2600"/>
            <w:shd w:fill="1F2937" w:val="clear"/>
            <w:tcMar>
              <w:top w:type="dxa" w:w="100"/>
              <w:left w:type="dxa" w:w="120"/>
              <w:bottom w:type="dxa" w:w="100"/>
              <w:right w:type="dxa" w:w="120"/>
            </w:tcMar>
          </w:tcPr>
          <w:p>
            <w:r>
              <w:rPr>
                <w:b/>
                <w:bCs/>
                <w:color w:val="FFFFFF"/>
                <w:sz w:val="20"/>
                <w:szCs w:val="20"/>
              </w:rPr>
              <w:t xml:space="preserve">Description</w:t>
            </w:r>
          </w:p>
        </w:tc>
        <w:tc>
          <w:tcPr>
            <w:tcW w:type="dxa" w:w="6750"/>
            <w:tcMar>
              <w:top w:type="dxa" w:w="100"/>
              <w:left w:type="dxa" w:w="120"/>
              <w:bottom w:type="dxa" w:w="100"/>
              <w:right w:type="dxa" w:w="120"/>
            </w:tcMar>
          </w:tcPr>
          <w:p>
            <w:r>
              <w:rPr>
                <w:b w:val="false"/>
                <w:bCs w:val="false"/>
                <w:color w:val="111827"/>
                <w:sz w:val="20"/>
                <w:szCs w:val="20"/>
              </w:rPr>
              <w:t xml:space="preserve">Nimbus's incident-response agent has broad access to monitoring tools and can act semi-autonomously. If compromised or misdirected, it could be used to conduct reconnaissance or exfiltrate data at a scale and speed no human insider threat could match.</w:t>
            </w:r>
          </w:p>
        </w:tc>
      </w:tr>
      <w:tr>
        <w:tc>
          <w:tcPr>
            <w:tcW w:type="dxa" w:w="2600"/>
            <w:shd w:fill="1F2937" w:val="clear"/>
            <w:tcMar>
              <w:top w:type="dxa" w:w="100"/>
              <w:left w:type="dxa" w:w="120"/>
              <w:bottom w:type="dxa" w:w="100"/>
              <w:right w:type="dxa" w:w="120"/>
            </w:tcMar>
          </w:tcPr>
          <w:p>
            <w:r>
              <w:rPr>
                <w:b/>
                <w:bCs/>
                <w:color w:val="FFFFFF"/>
                <w:sz w:val="20"/>
                <w:szCs w:val="20"/>
              </w:rPr>
              <w:t xml:space="preserve">Related Incident</w:t>
            </w:r>
          </w:p>
        </w:tc>
        <w:tc>
          <w:tcPr>
            <w:tcW w:type="dxa" w:w="6750"/>
            <w:tcMar>
              <w:top w:type="dxa" w:w="100"/>
              <w:left w:type="dxa" w:w="120"/>
              <w:bottom w:type="dxa" w:w="100"/>
              <w:right w:type="dxa" w:w="120"/>
            </w:tcMar>
          </w:tcPr>
          <w:p>
            <w:r>
              <w:rPr>
                <w:b w:val="false"/>
                <w:bCs w:val="false"/>
                <w:color w:val="111827"/>
                <w:sz w:val="20"/>
                <w:szCs w:val="20"/>
              </w:rPr>
              <w:t xml:space="preserve">Anthropic's November 2025 disclosure of a Chinese state-sponsored group using Claude Code and a custom MCP-based framework to perform an estimated 80 to 90 percent of a cyber-espionage campaign's tactical work autonomously.</w:t>
            </w:r>
          </w:p>
        </w:tc>
      </w:tr>
      <w:tr>
        <w:tc>
          <w:tcPr>
            <w:tcW w:type="dxa" w:w="2600"/>
            <w:shd w:fill="1F2937" w:val="clear"/>
            <w:tcMar>
              <w:top w:type="dxa" w:w="100"/>
              <w:left w:type="dxa" w:w="120"/>
              <w:bottom w:type="dxa" w:w="100"/>
              <w:right w:type="dxa" w:w="120"/>
            </w:tcMar>
          </w:tcPr>
          <w:p>
            <w:r>
              <w:rPr>
                <w:b/>
                <w:bCs/>
                <w:color w:val="FFFFFF"/>
                <w:sz w:val="20"/>
                <w:szCs w:val="20"/>
              </w:rPr>
              <w:t xml:space="preserve">Framework Mapping</w:t>
            </w:r>
          </w:p>
        </w:tc>
        <w:tc>
          <w:tcPr>
            <w:tcW w:type="dxa" w:w="6750"/>
            <w:tcMar>
              <w:top w:type="dxa" w:w="100"/>
              <w:left w:type="dxa" w:w="120"/>
              <w:bottom w:type="dxa" w:w="100"/>
              <w:right w:type="dxa" w:w="120"/>
            </w:tcMar>
          </w:tcPr>
          <w:p>
            <w:r>
              <w:rPr>
                <w:b w:val="false"/>
                <w:bCs w:val="false"/>
                <w:color w:val="111827"/>
                <w:sz w:val="20"/>
                <w:szCs w:val="20"/>
              </w:rPr>
              <w:t xml:space="preserve">NIST AI RMF, Manage function; OWASP LLM Top 10, LLM08: Excessive Agency</w:t>
            </w:r>
          </w:p>
        </w:tc>
      </w:tr>
      <w:tr>
        <w:tc>
          <w:tcPr>
            <w:tcW w:type="dxa" w:w="2600"/>
            <w:shd w:fill="1F2937" w:val="clear"/>
            <w:tcMar>
              <w:top w:type="dxa" w:w="100"/>
              <w:left w:type="dxa" w:w="120"/>
              <w:bottom w:type="dxa" w:w="100"/>
              <w:right w:type="dxa" w:w="120"/>
            </w:tcMar>
          </w:tcPr>
          <w:p>
            <w:r>
              <w:rPr>
                <w:b/>
                <w:bCs/>
                <w:color w:val="FFFFFF"/>
                <w:sz w:val="20"/>
                <w:szCs w:val="20"/>
              </w:rPr>
              <w:t xml:space="preserve">Likelihood</w:t>
            </w:r>
          </w:p>
        </w:tc>
        <w:tc>
          <w:tcPr>
            <w:tcW w:type="dxa" w:w="6750"/>
            <w:tcMar>
              <w:top w:type="dxa" w:w="100"/>
              <w:left w:type="dxa" w:w="120"/>
              <w:bottom w:type="dxa" w:w="100"/>
              <w:right w:type="dxa" w:w="120"/>
            </w:tcMar>
          </w:tcPr>
          <w:p>
            <w:r>
              <w:rPr>
                <w:b w:val="false"/>
                <w:bCs w:val="false"/>
                <w:color w:val="111827"/>
                <w:sz w:val="20"/>
                <w:szCs w:val="20"/>
              </w:rPr>
              <w:t xml:space="preserve">Low. Requires a sophisticated attacker to first gain a foothold, but the consequence class is now proven to be real.</w:t>
            </w:r>
          </w:p>
        </w:tc>
      </w:tr>
      <w:tr>
        <w:tc>
          <w:tcPr>
            <w:tcW w:type="dxa" w:w="2600"/>
            <w:shd w:fill="1F2937" w:val="clear"/>
            <w:tcMar>
              <w:top w:type="dxa" w:w="100"/>
              <w:left w:type="dxa" w:w="120"/>
              <w:bottom w:type="dxa" w:w="100"/>
              <w:right w:type="dxa" w:w="120"/>
            </w:tcMar>
          </w:tcPr>
          <w:p>
            <w:r>
              <w:rPr>
                <w:b/>
                <w:bCs/>
                <w:color w:val="FFFFFF"/>
                <w:sz w:val="20"/>
                <w:szCs w:val="20"/>
              </w:rPr>
              <w:t xml:space="preserve">Impact</w:t>
            </w:r>
          </w:p>
        </w:tc>
        <w:tc>
          <w:tcPr>
            <w:tcW w:type="dxa" w:w="6750"/>
            <w:tcMar>
              <w:top w:type="dxa" w:w="100"/>
              <w:left w:type="dxa" w:w="120"/>
              <w:bottom w:type="dxa" w:w="100"/>
              <w:right w:type="dxa" w:w="120"/>
            </w:tcMar>
          </w:tcPr>
          <w:p>
            <w:r>
              <w:rPr>
                <w:b w:val="false"/>
                <w:bCs w:val="false"/>
                <w:color w:val="111827"/>
                <w:sz w:val="20"/>
                <w:szCs w:val="20"/>
              </w:rPr>
              <w:t xml:space="preserve">High. An autonomous agent with broad tool access could cause damage far faster than a human-driven attack before detection.</w:t>
            </w:r>
          </w:p>
        </w:tc>
      </w:tr>
      <w:tr>
        <w:tc>
          <w:tcPr>
            <w:tcW w:type="dxa" w:w="2600"/>
            <w:shd w:fill="1F2937" w:val="clear"/>
            <w:tcMar>
              <w:top w:type="dxa" w:w="100"/>
              <w:left w:type="dxa" w:w="120"/>
              <w:bottom w:type="dxa" w:w="100"/>
              <w:right w:type="dxa" w:w="120"/>
            </w:tcMar>
          </w:tcPr>
          <w:p>
            <w:r>
              <w:rPr>
                <w:b/>
                <w:bCs/>
                <w:color w:val="FFFFFF"/>
                <w:sz w:val="20"/>
                <w:szCs w:val="20"/>
              </w:rPr>
              <w:t xml:space="preserve">Priority</w:t>
            </w:r>
          </w:p>
        </w:tc>
        <w:tc>
          <w:tcPr>
            <w:tcW w:type="dxa" w:w="6750"/>
            <w:tcMar>
              <w:top w:type="dxa" w:w="100"/>
              <w:left w:type="dxa" w:w="120"/>
              <w:bottom w:type="dxa" w:w="100"/>
              <w:right w:type="dxa" w:w="120"/>
            </w:tcMar>
          </w:tcPr>
          <w:p>
            <w:r>
              <w:rPr>
                <w:b w:val="false"/>
                <w:bCs w:val="false"/>
                <w:color w:val="111827"/>
                <w:sz w:val="20"/>
                <w:szCs w:val="20"/>
              </w:rPr>
              <w:t xml:space="preserve">High</w:t>
            </w:r>
          </w:p>
        </w:tc>
      </w:tr>
      <w:tr>
        <w:tc>
          <w:tcPr>
            <w:tcW w:type="dxa" w:w="2600"/>
            <w:shd w:fill="1F2937" w:val="clear"/>
            <w:tcMar>
              <w:top w:type="dxa" w:w="100"/>
              <w:left w:type="dxa" w:w="120"/>
              <w:bottom w:type="dxa" w:w="100"/>
              <w:right w:type="dxa" w:w="120"/>
            </w:tcMar>
          </w:tcPr>
          <w:p>
            <w:r>
              <w:rPr>
                <w:b/>
                <w:bCs/>
                <w:color w:val="FFFFFF"/>
                <w:sz w:val="20"/>
                <w:szCs w:val="20"/>
              </w:rPr>
              <w:t xml:space="preserve">Recommended Mitigation</w:t>
            </w:r>
          </w:p>
        </w:tc>
        <w:tc>
          <w:tcPr>
            <w:tcW w:type="dxa" w:w="6750"/>
            <w:tcMar>
              <w:top w:type="dxa" w:w="100"/>
              <w:left w:type="dxa" w:w="120"/>
              <w:bottom w:type="dxa" w:w="100"/>
              <w:right w:type="dxa" w:w="120"/>
            </w:tcMar>
          </w:tcPr>
          <w:p>
            <w:r>
              <w:rPr>
                <w:b w:val="false"/>
                <w:bCs w:val="false"/>
                <w:color w:val="111827"/>
                <w:sz w:val="20"/>
                <w:szCs w:val="20"/>
              </w:rPr>
              <w:t xml:space="preserve">Require human confirmation at defined checkpoints for high-impact agent actions, and build agent-specific behavioral telemetry separate from standard user activity logs.</w:t>
            </w:r>
          </w:p>
        </w:tc>
      </w:tr>
    </w:tbl>
    <w:p>
      <w:pPr>
        <w:spacing w:after="200"/>
      </w:pPr>
    </w:p>
    <w:p>
      <w:pPr>
        <w:pStyle w:val="Heading2"/>
        <w:spacing w:after="120" w:before="240"/>
      </w:pPr>
      <w:r>
        <w:rPr>
          <w:b/>
          <w:bCs/>
          <w:color w:val="1F2937"/>
          <w:sz w:val="24"/>
          <w:szCs w:val="24"/>
        </w:rPr>
        <w:t xml:space="preserve">R-05: Poisoned Monitoring Data Triggering Unintended Privileged Actions (Agentjacking)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Risk ID</w:t>
            </w:r>
          </w:p>
        </w:tc>
        <w:tc>
          <w:tcPr>
            <w:tcW w:type="dxa" w:w="6750"/>
            <w:tcMar>
              <w:top w:type="dxa" w:w="100"/>
              <w:left w:type="dxa" w:w="120"/>
              <w:bottom w:type="dxa" w:w="100"/>
              <w:right w:type="dxa" w:w="120"/>
            </w:tcMar>
          </w:tcPr>
          <w:p>
            <w:r>
              <w:rPr>
                <w:b w:val="false"/>
                <w:bCs w:val="false"/>
                <w:color w:val="111827"/>
                <w:sz w:val="20"/>
                <w:szCs w:val="20"/>
              </w:rPr>
              <w:t xml:space="preserve">R-05</w:t>
            </w:r>
          </w:p>
        </w:tc>
      </w:tr>
      <w:tr>
        <w:tc>
          <w:tcPr>
            <w:tcW w:type="dxa" w:w="2600"/>
            <w:shd w:fill="1F2937" w:val="clear"/>
            <w:tcMar>
              <w:top w:type="dxa" w:w="100"/>
              <w:left w:type="dxa" w:w="120"/>
              <w:bottom w:type="dxa" w:w="100"/>
              <w:right w:type="dxa" w:w="120"/>
            </w:tcMar>
          </w:tcPr>
          <w:p>
            <w:r>
              <w:rPr>
                <w:b/>
                <w:bCs/>
                <w:color w:val="FFFFFF"/>
                <w:sz w:val="20"/>
                <w:szCs w:val="20"/>
              </w:rPr>
              <w:t xml:space="preserve">Risk Name</w:t>
            </w:r>
          </w:p>
        </w:tc>
        <w:tc>
          <w:tcPr>
            <w:tcW w:type="dxa" w:w="6750"/>
            <w:tcMar>
              <w:top w:type="dxa" w:w="100"/>
              <w:left w:type="dxa" w:w="120"/>
              <w:bottom w:type="dxa" w:w="100"/>
              <w:right w:type="dxa" w:w="120"/>
            </w:tcMar>
          </w:tcPr>
          <w:p>
            <w:r>
              <w:rPr>
                <w:b w:val="false"/>
                <w:bCs w:val="false"/>
                <w:color w:val="111827"/>
                <w:sz w:val="20"/>
                <w:szCs w:val="20"/>
              </w:rPr>
              <w:t xml:space="preserve">Poisoned Monitoring Data Triggering Unintended Privileged Actions (Agentjacking)</w:t>
            </w:r>
          </w:p>
        </w:tc>
      </w:tr>
      <w:tr>
        <w:tc>
          <w:tcPr>
            <w:tcW w:type="dxa" w:w="2600"/>
            <w:shd w:fill="1F2937" w:val="clear"/>
            <w:tcMar>
              <w:top w:type="dxa" w:w="100"/>
              <w:left w:type="dxa" w:w="120"/>
              <w:bottom w:type="dxa" w:w="100"/>
              <w:right w:type="dxa" w:w="120"/>
            </w:tcMar>
          </w:tcPr>
          <w:p>
            <w:r>
              <w:rPr>
                <w:b/>
                <w:bCs/>
                <w:color w:val="FFFFFF"/>
                <w:sz w:val="20"/>
                <w:szCs w:val="20"/>
              </w:rPr>
              <w:t xml:space="preserve">Affected AI System</w:t>
            </w:r>
          </w:p>
        </w:tc>
        <w:tc>
          <w:tcPr>
            <w:tcW w:type="dxa" w:w="6750"/>
            <w:tcMar>
              <w:top w:type="dxa" w:w="100"/>
              <w:left w:type="dxa" w:w="120"/>
              <w:bottom w:type="dxa" w:w="100"/>
              <w:right w:type="dxa" w:w="120"/>
            </w:tcMar>
          </w:tcPr>
          <w:p>
            <w:r>
              <w:rPr>
                <w:b w:val="false"/>
                <w:bCs w:val="false"/>
                <w:color w:val="111827"/>
                <w:sz w:val="20"/>
                <w:szCs w:val="20"/>
              </w:rPr>
              <w:t xml:space="preserve">AI Coding Agent (MCP-integrated with monitoring tools)</w:t>
            </w:r>
          </w:p>
        </w:tc>
      </w:tr>
      <w:tr>
        <w:tc>
          <w:tcPr>
            <w:tcW w:type="dxa" w:w="2600"/>
            <w:shd w:fill="1F2937" w:val="clear"/>
            <w:tcMar>
              <w:top w:type="dxa" w:w="100"/>
              <w:left w:type="dxa" w:w="120"/>
              <w:bottom w:type="dxa" w:w="100"/>
              <w:right w:type="dxa" w:w="120"/>
            </w:tcMar>
          </w:tcPr>
          <w:p>
            <w:r>
              <w:rPr>
                <w:b/>
                <w:bCs/>
                <w:color w:val="FFFFFF"/>
                <w:sz w:val="20"/>
                <w:szCs w:val="20"/>
              </w:rPr>
              <w:t xml:space="preserve">Description</w:t>
            </w:r>
          </w:p>
        </w:tc>
        <w:tc>
          <w:tcPr>
            <w:tcW w:type="dxa" w:w="6750"/>
            <w:tcMar>
              <w:top w:type="dxa" w:w="100"/>
              <w:left w:type="dxa" w:w="120"/>
              <w:bottom w:type="dxa" w:w="100"/>
              <w:right w:type="dxa" w:w="120"/>
            </w:tcMar>
          </w:tcPr>
          <w:p>
            <w:r>
              <w:rPr>
                <w:b w:val="false"/>
                <w:bCs w:val="false"/>
                <w:color w:val="111827"/>
                <w:sz w:val="20"/>
                <w:szCs w:val="20"/>
              </w:rPr>
              <w:t xml:space="preserve">Nimbus's coding agent consumes error reports from a monitoring platform as trusted input. An attacker could inject a malicious error event that the agent interprets as an instruction, causing it to take unintended, privileged actions using the developer's own access.</w:t>
            </w:r>
          </w:p>
        </w:tc>
      </w:tr>
      <w:tr>
        <w:tc>
          <w:tcPr>
            <w:tcW w:type="dxa" w:w="2600"/>
            <w:shd w:fill="1F2937" w:val="clear"/>
            <w:tcMar>
              <w:top w:type="dxa" w:w="100"/>
              <w:left w:type="dxa" w:w="120"/>
              <w:bottom w:type="dxa" w:w="100"/>
              <w:right w:type="dxa" w:w="120"/>
            </w:tcMar>
          </w:tcPr>
          <w:p>
            <w:r>
              <w:rPr>
                <w:b/>
                <w:bCs/>
                <w:color w:val="FFFFFF"/>
                <w:sz w:val="20"/>
                <w:szCs w:val="20"/>
              </w:rPr>
              <w:t xml:space="preserve">Related Incident</w:t>
            </w:r>
          </w:p>
        </w:tc>
        <w:tc>
          <w:tcPr>
            <w:tcW w:type="dxa" w:w="6750"/>
            <w:tcMar>
              <w:top w:type="dxa" w:w="100"/>
              <w:left w:type="dxa" w:w="120"/>
              <w:bottom w:type="dxa" w:w="100"/>
              <w:right w:type="dxa" w:w="120"/>
            </w:tcMar>
          </w:tcPr>
          <w:p>
            <w:r>
              <w:rPr>
                <w:b w:val="false"/>
                <w:bCs w:val="false"/>
                <w:color w:val="111827"/>
                <w:sz w:val="20"/>
                <w:szCs w:val="20"/>
              </w:rPr>
              <w:t xml:space="preserve">Tenet Security's June 2026 Agentjacking research, which achieved an 85 percent success rate across 100+ tested targets by injecting malicious events into a public Sentry DSN, undetected by EDR, WAF, IAM, or firewall monitoring.</w:t>
            </w:r>
          </w:p>
        </w:tc>
      </w:tr>
      <w:tr>
        <w:tc>
          <w:tcPr>
            <w:tcW w:type="dxa" w:w="2600"/>
            <w:shd w:fill="1F2937" w:val="clear"/>
            <w:tcMar>
              <w:top w:type="dxa" w:w="100"/>
              <w:left w:type="dxa" w:w="120"/>
              <w:bottom w:type="dxa" w:w="100"/>
              <w:right w:type="dxa" w:w="120"/>
            </w:tcMar>
          </w:tcPr>
          <w:p>
            <w:r>
              <w:rPr>
                <w:b/>
                <w:bCs/>
                <w:color w:val="FFFFFF"/>
                <w:sz w:val="20"/>
                <w:szCs w:val="20"/>
              </w:rPr>
              <w:t xml:space="preserve">Framework Mapping</w:t>
            </w:r>
          </w:p>
        </w:tc>
        <w:tc>
          <w:tcPr>
            <w:tcW w:type="dxa" w:w="6750"/>
            <w:tcMar>
              <w:top w:type="dxa" w:w="100"/>
              <w:left w:type="dxa" w:w="120"/>
              <w:bottom w:type="dxa" w:w="100"/>
              <w:right w:type="dxa" w:w="120"/>
            </w:tcMar>
          </w:tcPr>
          <w:p>
            <w:r>
              <w:rPr>
                <w:b w:val="false"/>
                <w:bCs w:val="false"/>
                <w:color w:val="111827"/>
                <w:sz w:val="20"/>
                <w:szCs w:val="20"/>
              </w:rPr>
              <w:t xml:space="preserve">OWASP LLM Top 10, LLM01: Prompt Injection (indirect); LLM02: Insecure Output Handling</w:t>
            </w:r>
          </w:p>
        </w:tc>
      </w:tr>
      <w:tr>
        <w:tc>
          <w:tcPr>
            <w:tcW w:type="dxa" w:w="2600"/>
            <w:shd w:fill="1F2937" w:val="clear"/>
            <w:tcMar>
              <w:top w:type="dxa" w:w="100"/>
              <w:left w:type="dxa" w:w="120"/>
              <w:bottom w:type="dxa" w:w="100"/>
              <w:right w:type="dxa" w:w="120"/>
            </w:tcMar>
          </w:tcPr>
          <w:p>
            <w:r>
              <w:rPr>
                <w:b/>
                <w:bCs/>
                <w:color w:val="FFFFFF"/>
                <w:sz w:val="20"/>
                <w:szCs w:val="20"/>
              </w:rPr>
              <w:t xml:space="preserve">Likelihood</w:t>
            </w:r>
          </w:p>
        </w:tc>
        <w:tc>
          <w:tcPr>
            <w:tcW w:type="dxa" w:w="6750"/>
            <w:tcMar>
              <w:top w:type="dxa" w:w="100"/>
              <w:left w:type="dxa" w:w="120"/>
              <w:bottom w:type="dxa" w:w="100"/>
              <w:right w:type="dxa" w:w="120"/>
            </w:tcMar>
          </w:tcPr>
          <w:p>
            <w:r>
              <w:rPr>
                <w:b w:val="false"/>
                <w:bCs w:val="false"/>
                <w:color w:val="111827"/>
                <w:sz w:val="20"/>
                <w:szCs w:val="20"/>
              </w:rPr>
              <w:t xml:space="preserve">Medium. The attack requires only a publicly accessible monitoring endpoint, which is common in real deployments.</w:t>
            </w:r>
          </w:p>
        </w:tc>
      </w:tr>
      <w:tr>
        <w:tc>
          <w:tcPr>
            <w:tcW w:type="dxa" w:w="2600"/>
            <w:shd w:fill="1F2937" w:val="clear"/>
            <w:tcMar>
              <w:top w:type="dxa" w:w="100"/>
              <w:left w:type="dxa" w:w="120"/>
              <w:bottom w:type="dxa" w:w="100"/>
              <w:right w:type="dxa" w:w="120"/>
            </w:tcMar>
          </w:tcPr>
          <w:p>
            <w:r>
              <w:rPr>
                <w:b/>
                <w:bCs/>
                <w:color w:val="FFFFFF"/>
                <w:sz w:val="20"/>
                <w:szCs w:val="20"/>
              </w:rPr>
              <w:t xml:space="preserve">Impact</w:t>
            </w:r>
          </w:p>
        </w:tc>
        <w:tc>
          <w:tcPr>
            <w:tcW w:type="dxa" w:w="6750"/>
            <w:tcMar>
              <w:top w:type="dxa" w:w="100"/>
              <w:left w:type="dxa" w:w="120"/>
              <w:bottom w:type="dxa" w:w="100"/>
              <w:right w:type="dxa" w:w="120"/>
            </w:tcMar>
          </w:tcPr>
          <w:p>
            <w:r>
              <w:rPr>
                <w:b w:val="false"/>
                <w:bCs w:val="false"/>
                <w:color w:val="111827"/>
                <w:sz w:val="20"/>
                <w:szCs w:val="20"/>
              </w:rPr>
              <w:t xml:space="preserve">High. Traditional controls did not detect this class of attack in testing, meaning it could persist undetected.</w:t>
            </w:r>
          </w:p>
        </w:tc>
      </w:tr>
      <w:tr>
        <w:tc>
          <w:tcPr>
            <w:tcW w:type="dxa" w:w="2600"/>
            <w:shd w:fill="1F2937" w:val="clear"/>
            <w:tcMar>
              <w:top w:type="dxa" w:w="100"/>
              <w:left w:type="dxa" w:w="120"/>
              <w:bottom w:type="dxa" w:w="100"/>
              <w:right w:type="dxa" w:w="120"/>
            </w:tcMar>
          </w:tcPr>
          <w:p>
            <w:r>
              <w:rPr>
                <w:b/>
                <w:bCs/>
                <w:color w:val="FFFFFF"/>
                <w:sz w:val="20"/>
                <w:szCs w:val="20"/>
              </w:rPr>
              <w:t xml:space="preserve">Priority</w:t>
            </w:r>
          </w:p>
        </w:tc>
        <w:tc>
          <w:tcPr>
            <w:tcW w:type="dxa" w:w="6750"/>
            <w:tcMar>
              <w:top w:type="dxa" w:w="100"/>
              <w:left w:type="dxa" w:w="120"/>
              <w:bottom w:type="dxa" w:w="100"/>
              <w:right w:type="dxa" w:w="120"/>
            </w:tcMar>
          </w:tcPr>
          <w:p>
            <w:r>
              <w:rPr>
                <w:b w:val="false"/>
                <w:bCs w:val="false"/>
                <w:color w:val="111827"/>
                <w:sz w:val="20"/>
                <w:szCs w:val="20"/>
              </w:rPr>
              <w:t xml:space="preserve">High</w:t>
            </w:r>
          </w:p>
        </w:tc>
      </w:tr>
      <w:tr>
        <w:tc>
          <w:tcPr>
            <w:tcW w:type="dxa" w:w="2600"/>
            <w:shd w:fill="1F2937" w:val="clear"/>
            <w:tcMar>
              <w:top w:type="dxa" w:w="100"/>
              <w:left w:type="dxa" w:w="120"/>
              <w:bottom w:type="dxa" w:w="100"/>
              <w:right w:type="dxa" w:w="120"/>
            </w:tcMar>
          </w:tcPr>
          <w:p>
            <w:r>
              <w:rPr>
                <w:b/>
                <w:bCs/>
                <w:color w:val="FFFFFF"/>
                <w:sz w:val="20"/>
                <w:szCs w:val="20"/>
              </w:rPr>
              <w:t xml:space="preserve">Recommended Mitigation</w:t>
            </w:r>
          </w:p>
        </w:tc>
        <w:tc>
          <w:tcPr>
            <w:tcW w:type="dxa" w:w="6750"/>
            <w:tcMar>
              <w:top w:type="dxa" w:w="100"/>
              <w:left w:type="dxa" w:w="120"/>
              <w:bottom w:type="dxa" w:w="100"/>
              <w:right w:type="dxa" w:w="120"/>
            </w:tcMar>
          </w:tcPr>
          <w:p>
            <w:r>
              <w:rPr>
                <w:b w:val="false"/>
                <w:bCs w:val="false"/>
                <w:color w:val="111827"/>
                <w:sz w:val="20"/>
                <w:szCs w:val="20"/>
              </w:rPr>
              <w:t xml:space="preserve">Treat all tool output, including from internal monitoring platforms, as untrusted input requiring validation before the agent acts on it, and restrict which tool outputs can trigger privileged actions.</w:t>
            </w:r>
          </w:p>
        </w:tc>
      </w:tr>
    </w:tbl>
    <w:p>
      <w:pPr>
        <w:spacing w:after="200"/>
      </w:pPr>
    </w:p>
    <w:p>
      <w:pPr>
        <w:pStyle w:val="Heading2"/>
        <w:spacing w:after="120" w:before="240"/>
      </w:pPr>
      <w:r>
        <w:rPr>
          <w:b/>
          <w:bCs/>
          <w:color w:val="1F2937"/>
          <w:sz w:val="24"/>
          <w:szCs w:val="24"/>
        </w:rPr>
        <w:t xml:space="preserve">R-06: Source Code and Credential Leakage via AI Coding Agent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Risk ID</w:t>
            </w:r>
          </w:p>
        </w:tc>
        <w:tc>
          <w:tcPr>
            <w:tcW w:type="dxa" w:w="6750"/>
            <w:tcMar>
              <w:top w:type="dxa" w:w="100"/>
              <w:left w:type="dxa" w:w="120"/>
              <w:bottom w:type="dxa" w:w="100"/>
              <w:right w:type="dxa" w:w="120"/>
            </w:tcMar>
          </w:tcPr>
          <w:p>
            <w:r>
              <w:rPr>
                <w:b w:val="false"/>
                <w:bCs w:val="false"/>
                <w:color w:val="111827"/>
                <w:sz w:val="20"/>
                <w:szCs w:val="20"/>
              </w:rPr>
              <w:t xml:space="preserve">R-06</w:t>
            </w:r>
          </w:p>
        </w:tc>
      </w:tr>
      <w:tr>
        <w:tc>
          <w:tcPr>
            <w:tcW w:type="dxa" w:w="2600"/>
            <w:shd w:fill="1F2937" w:val="clear"/>
            <w:tcMar>
              <w:top w:type="dxa" w:w="100"/>
              <w:left w:type="dxa" w:w="120"/>
              <w:bottom w:type="dxa" w:w="100"/>
              <w:right w:type="dxa" w:w="120"/>
            </w:tcMar>
          </w:tcPr>
          <w:p>
            <w:r>
              <w:rPr>
                <w:b/>
                <w:bCs/>
                <w:color w:val="FFFFFF"/>
                <w:sz w:val="20"/>
                <w:szCs w:val="20"/>
              </w:rPr>
              <w:t xml:space="preserve">Risk Name</w:t>
            </w:r>
          </w:p>
        </w:tc>
        <w:tc>
          <w:tcPr>
            <w:tcW w:type="dxa" w:w="6750"/>
            <w:tcMar>
              <w:top w:type="dxa" w:w="100"/>
              <w:left w:type="dxa" w:w="120"/>
              <w:bottom w:type="dxa" w:w="100"/>
              <w:right w:type="dxa" w:w="120"/>
            </w:tcMar>
          </w:tcPr>
          <w:p>
            <w:r>
              <w:rPr>
                <w:b w:val="false"/>
                <w:bCs w:val="false"/>
                <w:color w:val="111827"/>
                <w:sz w:val="20"/>
                <w:szCs w:val="20"/>
              </w:rPr>
              <w:t xml:space="preserve">Source Code and Credential Leakage via AI Coding Agent</w:t>
            </w:r>
          </w:p>
        </w:tc>
      </w:tr>
      <w:tr>
        <w:tc>
          <w:tcPr>
            <w:tcW w:type="dxa" w:w="2600"/>
            <w:shd w:fill="1F2937" w:val="clear"/>
            <w:tcMar>
              <w:top w:type="dxa" w:w="100"/>
              <w:left w:type="dxa" w:w="120"/>
              <w:bottom w:type="dxa" w:w="100"/>
              <w:right w:type="dxa" w:w="120"/>
            </w:tcMar>
          </w:tcPr>
          <w:p>
            <w:r>
              <w:rPr>
                <w:b/>
                <w:bCs/>
                <w:color w:val="FFFFFF"/>
                <w:sz w:val="20"/>
                <w:szCs w:val="20"/>
              </w:rPr>
              <w:t xml:space="preserve">Affected AI System</w:t>
            </w:r>
          </w:p>
        </w:tc>
        <w:tc>
          <w:tcPr>
            <w:tcW w:type="dxa" w:w="6750"/>
            <w:tcMar>
              <w:top w:type="dxa" w:w="100"/>
              <w:left w:type="dxa" w:w="120"/>
              <w:bottom w:type="dxa" w:w="100"/>
              <w:right w:type="dxa" w:w="120"/>
            </w:tcMar>
          </w:tcPr>
          <w:p>
            <w:r>
              <w:rPr>
                <w:b w:val="false"/>
                <w:bCs w:val="false"/>
                <w:color w:val="111827"/>
                <w:sz w:val="20"/>
                <w:szCs w:val="20"/>
              </w:rPr>
              <w:t xml:space="preserve">AI Coding Agent (MCP-integrated)</w:t>
            </w:r>
          </w:p>
        </w:tc>
      </w:tr>
      <w:tr>
        <w:tc>
          <w:tcPr>
            <w:tcW w:type="dxa" w:w="2600"/>
            <w:shd w:fill="1F2937" w:val="clear"/>
            <w:tcMar>
              <w:top w:type="dxa" w:w="100"/>
              <w:left w:type="dxa" w:w="120"/>
              <w:bottom w:type="dxa" w:w="100"/>
              <w:right w:type="dxa" w:w="120"/>
            </w:tcMar>
          </w:tcPr>
          <w:p>
            <w:r>
              <w:rPr>
                <w:b/>
                <w:bCs/>
                <w:color w:val="FFFFFF"/>
                <w:sz w:val="20"/>
                <w:szCs w:val="20"/>
              </w:rPr>
              <w:t xml:space="preserve">Description</w:t>
            </w:r>
          </w:p>
        </w:tc>
        <w:tc>
          <w:tcPr>
            <w:tcW w:type="dxa" w:w="6750"/>
            <w:tcMar>
              <w:top w:type="dxa" w:w="100"/>
              <w:left w:type="dxa" w:w="120"/>
              <w:bottom w:type="dxa" w:w="100"/>
              <w:right w:type="dxa" w:w="120"/>
            </w:tcMar>
          </w:tcPr>
          <w:p>
            <w:r>
              <w:rPr>
                <w:b w:val="false"/>
                <w:bCs w:val="false"/>
                <w:color w:val="111827"/>
                <w:sz w:val="20"/>
                <w:szCs w:val="20"/>
              </w:rPr>
              <w:t xml:space="preserve">The coding agent has read access to Nimbus's proprietary source code and, in some workflows, deployment credentials. A misconfigured MCP tool or an overly broad agent permission could expose this data to an external service or an unintended party.</w:t>
            </w:r>
          </w:p>
        </w:tc>
      </w:tr>
      <w:tr>
        <w:tc>
          <w:tcPr>
            <w:tcW w:type="dxa" w:w="2600"/>
            <w:shd w:fill="1F2937" w:val="clear"/>
            <w:tcMar>
              <w:top w:type="dxa" w:w="100"/>
              <w:left w:type="dxa" w:w="120"/>
              <w:bottom w:type="dxa" w:w="100"/>
              <w:right w:type="dxa" w:w="120"/>
            </w:tcMar>
          </w:tcPr>
          <w:p>
            <w:r>
              <w:rPr>
                <w:b/>
                <w:bCs/>
                <w:color w:val="FFFFFF"/>
                <w:sz w:val="20"/>
                <w:szCs w:val="20"/>
              </w:rPr>
              <w:t xml:space="preserve">Related Incident</w:t>
            </w:r>
          </w:p>
        </w:tc>
        <w:tc>
          <w:tcPr>
            <w:tcW w:type="dxa" w:w="6750"/>
            <w:tcMar>
              <w:top w:type="dxa" w:w="100"/>
              <w:left w:type="dxa" w:w="120"/>
              <w:bottom w:type="dxa" w:w="100"/>
              <w:right w:type="dxa" w:w="120"/>
            </w:tcMar>
          </w:tcPr>
          <w:p>
            <w:r>
              <w:rPr>
                <w:b w:val="false"/>
                <w:bCs w:val="false"/>
                <w:color w:val="111827"/>
                <w:sz w:val="20"/>
                <w:szCs w:val="20"/>
              </w:rPr>
              <w:t xml:space="preserve">Grounded in the same class of risk raised by OX Security's MCP research (Risk R-01): once an AI agent has broad tool access, the boundary between 'internal' and 'external' becomes difficult to enforce.</w:t>
            </w:r>
          </w:p>
        </w:tc>
      </w:tr>
      <w:tr>
        <w:tc>
          <w:tcPr>
            <w:tcW w:type="dxa" w:w="2600"/>
            <w:shd w:fill="1F2937" w:val="clear"/>
            <w:tcMar>
              <w:top w:type="dxa" w:w="100"/>
              <w:left w:type="dxa" w:w="120"/>
              <w:bottom w:type="dxa" w:w="100"/>
              <w:right w:type="dxa" w:w="120"/>
            </w:tcMar>
          </w:tcPr>
          <w:p>
            <w:r>
              <w:rPr>
                <w:b/>
                <w:bCs/>
                <w:color w:val="FFFFFF"/>
                <w:sz w:val="20"/>
                <w:szCs w:val="20"/>
              </w:rPr>
              <w:t xml:space="preserve">Framework Mapping</w:t>
            </w:r>
          </w:p>
        </w:tc>
        <w:tc>
          <w:tcPr>
            <w:tcW w:type="dxa" w:w="6750"/>
            <w:tcMar>
              <w:top w:type="dxa" w:w="100"/>
              <w:left w:type="dxa" w:w="120"/>
              <w:bottom w:type="dxa" w:w="100"/>
              <w:right w:type="dxa" w:w="120"/>
            </w:tcMar>
          </w:tcPr>
          <w:p>
            <w:r>
              <w:rPr>
                <w:b w:val="false"/>
                <w:bCs w:val="false"/>
                <w:color w:val="111827"/>
                <w:sz w:val="20"/>
                <w:szCs w:val="20"/>
              </w:rPr>
              <w:t xml:space="preserve">OWASP LLM Top 10, LLM06: Sensitive Information Disclosure</w:t>
            </w:r>
          </w:p>
        </w:tc>
      </w:tr>
      <w:tr>
        <w:tc>
          <w:tcPr>
            <w:tcW w:type="dxa" w:w="2600"/>
            <w:shd w:fill="1F2937" w:val="clear"/>
            <w:tcMar>
              <w:top w:type="dxa" w:w="100"/>
              <w:left w:type="dxa" w:w="120"/>
              <w:bottom w:type="dxa" w:w="100"/>
              <w:right w:type="dxa" w:w="120"/>
            </w:tcMar>
          </w:tcPr>
          <w:p>
            <w:r>
              <w:rPr>
                <w:b/>
                <w:bCs/>
                <w:color w:val="FFFFFF"/>
                <w:sz w:val="20"/>
                <w:szCs w:val="20"/>
              </w:rPr>
              <w:t xml:space="preserve">Likelihood</w:t>
            </w:r>
          </w:p>
        </w:tc>
        <w:tc>
          <w:tcPr>
            <w:tcW w:type="dxa" w:w="6750"/>
            <w:tcMar>
              <w:top w:type="dxa" w:w="100"/>
              <w:left w:type="dxa" w:w="120"/>
              <w:bottom w:type="dxa" w:w="100"/>
              <w:right w:type="dxa" w:w="120"/>
            </w:tcMar>
          </w:tcPr>
          <w:p>
            <w:r>
              <w:rPr>
                <w:b w:val="false"/>
                <w:bCs w:val="false"/>
                <w:color w:val="111827"/>
                <w:sz w:val="20"/>
                <w:szCs w:val="20"/>
              </w:rPr>
              <w:t xml:space="preserve">Medium. No incident in the sourced article confirms this exact outcome, but it follows directly from the access patterns described in R-01.</w:t>
            </w:r>
          </w:p>
        </w:tc>
      </w:tr>
      <w:tr>
        <w:tc>
          <w:tcPr>
            <w:tcW w:type="dxa" w:w="2600"/>
            <w:shd w:fill="1F2937" w:val="clear"/>
            <w:tcMar>
              <w:top w:type="dxa" w:w="100"/>
              <w:left w:type="dxa" w:w="120"/>
              <w:bottom w:type="dxa" w:w="100"/>
              <w:right w:type="dxa" w:w="120"/>
            </w:tcMar>
          </w:tcPr>
          <w:p>
            <w:r>
              <w:rPr>
                <w:b/>
                <w:bCs/>
                <w:color w:val="FFFFFF"/>
                <w:sz w:val="20"/>
                <w:szCs w:val="20"/>
              </w:rPr>
              <w:t xml:space="preserve">Impact</w:t>
            </w:r>
          </w:p>
        </w:tc>
        <w:tc>
          <w:tcPr>
            <w:tcW w:type="dxa" w:w="6750"/>
            <w:tcMar>
              <w:top w:type="dxa" w:w="100"/>
              <w:left w:type="dxa" w:w="120"/>
              <w:bottom w:type="dxa" w:w="100"/>
              <w:right w:type="dxa" w:w="120"/>
            </w:tcMar>
          </w:tcPr>
          <w:p>
            <w:r>
              <w:rPr>
                <w:b w:val="false"/>
                <w:bCs w:val="false"/>
                <w:color w:val="111827"/>
                <w:sz w:val="20"/>
                <w:szCs w:val="20"/>
              </w:rPr>
              <w:t xml:space="preserve">High. Nimbus's source code and credentials are its core intellectual property and access mechanism.</w:t>
            </w:r>
          </w:p>
        </w:tc>
      </w:tr>
      <w:tr>
        <w:tc>
          <w:tcPr>
            <w:tcW w:type="dxa" w:w="2600"/>
            <w:shd w:fill="1F2937" w:val="clear"/>
            <w:tcMar>
              <w:top w:type="dxa" w:w="100"/>
              <w:left w:type="dxa" w:w="120"/>
              <w:bottom w:type="dxa" w:w="100"/>
              <w:right w:type="dxa" w:w="120"/>
            </w:tcMar>
          </w:tcPr>
          <w:p>
            <w:r>
              <w:rPr>
                <w:b/>
                <w:bCs/>
                <w:color w:val="FFFFFF"/>
                <w:sz w:val="20"/>
                <w:szCs w:val="20"/>
              </w:rPr>
              <w:t xml:space="preserve">Priority</w:t>
            </w:r>
          </w:p>
        </w:tc>
        <w:tc>
          <w:tcPr>
            <w:tcW w:type="dxa" w:w="6750"/>
            <w:tcMar>
              <w:top w:type="dxa" w:w="100"/>
              <w:left w:type="dxa" w:w="120"/>
              <w:bottom w:type="dxa" w:w="100"/>
              <w:right w:type="dxa" w:w="120"/>
            </w:tcMar>
          </w:tcPr>
          <w:p>
            <w:r>
              <w:rPr>
                <w:b w:val="false"/>
                <w:bCs w:val="false"/>
                <w:color w:val="111827"/>
                <w:sz w:val="20"/>
                <w:szCs w:val="20"/>
              </w:rPr>
              <w:t xml:space="preserve">High</w:t>
            </w:r>
          </w:p>
        </w:tc>
      </w:tr>
      <w:tr>
        <w:tc>
          <w:tcPr>
            <w:tcW w:type="dxa" w:w="2600"/>
            <w:shd w:fill="1F2937" w:val="clear"/>
            <w:tcMar>
              <w:top w:type="dxa" w:w="100"/>
              <w:left w:type="dxa" w:w="120"/>
              <w:bottom w:type="dxa" w:w="100"/>
              <w:right w:type="dxa" w:w="120"/>
            </w:tcMar>
          </w:tcPr>
          <w:p>
            <w:r>
              <w:rPr>
                <w:b/>
                <w:bCs/>
                <w:color w:val="FFFFFF"/>
                <w:sz w:val="20"/>
                <w:szCs w:val="20"/>
              </w:rPr>
              <w:t xml:space="preserve">Recommended Mitigation</w:t>
            </w:r>
          </w:p>
        </w:tc>
        <w:tc>
          <w:tcPr>
            <w:tcW w:type="dxa" w:w="6750"/>
            <w:tcMar>
              <w:top w:type="dxa" w:w="100"/>
              <w:left w:type="dxa" w:w="120"/>
              <w:bottom w:type="dxa" w:w="100"/>
              <w:right w:type="dxa" w:w="120"/>
            </w:tcMar>
          </w:tcPr>
          <w:p>
            <w:r>
              <w:rPr>
                <w:b w:val="false"/>
                <w:bCs w:val="false"/>
                <w:color w:val="111827"/>
                <w:sz w:val="20"/>
                <w:szCs w:val="20"/>
              </w:rPr>
              <w:t xml:space="preserve">Scope agent credentials to the minimum required per task, rotate credentials regularly, and never grant a coding agent standing access to production deployment secrets.</w:t>
            </w:r>
          </w:p>
        </w:tc>
      </w:tr>
    </w:tbl>
    <w:p>
      <w:pPr>
        <w:spacing w:after="200"/>
      </w:pPr>
    </w:p>
    <w:p>
      <w:pPr>
        <w:pStyle w:val="Heading2"/>
        <w:spacing w:after="120" w:before="240"/>
      </w:pPr>
      <w:r>
        <w:rPr>
          <w:b/>
          <w:bCs/>
          <w:color w:val="1F2937"/>
          <w:sz w:val="24"/>
          <w:szCs w:val="24"/>
        </w:rPr>
        <w:t xml:space="preserve">R-07: Unapproved Shadow AI Tools Bypassing Governance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Risk ID</w:t>
            </w:r>
          </w:p>
        </w:tc>
        <w:tc>
          <w:tcPr>
            <w:tcW w:type="dxa" w:w="6750"/>
            <w:tcMar>
              <w:top w:type="dxa" w:w="100"/>
              <w:left w:type="dxa" w:w="120"/>
              <w:bottom w:type="dxa" w:w="100"/>
              <w:right w:type="dxa" w:w="120"/>
            </w:tcMar>
          </w:tcPr>
          <w:p>
            <w:r>
              <w:rPr>
                <w:b w:val="false"/>
                <w:bCs w:val="false"/>
                <w:color w:val="111827"/>
                <w:sz w:val="20"/>
                <w:szCs w:val="20"/>
              </w:rPr>
              <w:t xml:space="preserve">R-07</w:t>
            </w:r>
          </w:p>
        </w:tc>
      </w:tr>
      <w:tr>
        <w:tc>
          <w:tcPr>
            <w:tcW w:type="dxa" w:w="2600"/>
            <w:shd w:fill="1F2937" w:val="clear"/>
            <w:tcMar>
              <w:top w:type="dxa" w:w="100"/>
              <w:left w:type="dxa" w:w="120"/>
              <w:bottom w:type="dxa" w:w="100"/>
              <w:right w:type="dxa" w:w="120"/>
            </w:tcMar>
          </w:tcPr>
          <w:p>
            <w:r>
              <w:rPr>
                <w:b/>
                <w:bCs/>
                <w:color w:val="FFFFFF"/>
                <w:sz w:val="20"/>
                <w:szCs w:val="20"/>
              </w:rPr>
              <w:t xml:space="preserve">Risk Name</w:t>
            </w:r>
          </w:p>
        </w:tc>
        <w:tc>
          <w:tcPr>
            <w:tcW w:type="dxa" w:w="6750"/>
            <w:tcMar>
              <w:top w:type="dxa" w:w="100"/>
              <w:left w:type="dxa" w:w="120"/>
              <w:bottom w:type="dxa" w:w="100"/>
              <w:right w:type="dxa" w:w="120"/>
            </w:tcMar>
          </w:tcPr>
          <w:p>
            <w:r>
              <w:rPr>
                <w:b w:val="false"/>
                <w:bCs w:val="false"/>
                <w:color w:val="111827"/>
                <w:sz w:val="20"/>
                <w:szCs w:val="20"/>
              </w:rPr>
              <w:t xml:space="preserve">Unapproved Shadow AI Tools Bypassing Governance</w:t>
            </w:r>
          </w:p>
        </w:tc>
      </w:tr>
      <w:tr>
        <w:tc>
          <w:tcPr>
            <w:tcW w:type="dxa" w:w="2600"/>
            <w:shd w:fill="1F2937" w:val="clear"/>
            <w:tcMar>
              <w:top w:type="dxa" w:w="100"/>
              <w:left w:type="dxa" w:w="120"/>
              <w:bottom w:type="dxa" w:w="100"/>
              <w:right w:type="dxa" w:w="120"/>
            </w:tcMar>
          </w:tcPr>
          <w:p>
            <w:r>
              <w:rPr>
                <w:b/>
                <w:bCs/>
                <w:color w:val="FFFFFF"/>
                <w:sz w:val="20"/>
                <w:szCs w:val="20"/>
              </w:rPr>
              <w:t xml:space="preserve">Affected AI System</w:t>
            </w:r>
          </w:p>
        </w:tc>
        <w:tc>
          <w:tcPr>
            <w:tcW w:type="dxa" w:w="6750"/>
            <w:tcMar>
              <w:top w:type="dxa" w:w="100"/>
              <w:left w:type="dxa" w:w="120"/>
              <w:bottom w:type="dxa" w:w="100"/>
              <w:right w:type="dxa" w:w="120"/>
            </w:tcMar>
          </w:tcPr>
          <w:p>
            <w:r>
              <w:rPr>
                <w:b w:val="false"/>
                <w:bCs w:val="false"/>
                <w:color w:val="111827"/>
                <w:sz w:val="20"/>
                <w:szCs w:val="20"/>
              </w:rPr>
              <w:t xml:space="preserve">N/A (organization-wide)</w:t>
            </w:r>
          </w:p>
        </w:tc>
      </w:tr>
      <w:tr>
        <w:tc>
          <w:tcPr>
            <w:tcW w:type="dxa" w:w="2600"/>
            <w:shd w:fill="1F2937" w:val="clear"/>
            <w:tcMar>
              <w:top w:type="dxa" w:w="100"/>
              <w:left w:type="dxa" w:w="120"/>
              <w:bottom w:type="dxa" w:w="100"/>
              <w:right w:type="dxa" w:w="120"/>
            </w:tcMar>
          </w:tcPr>
          <w:p>
            <w:r>
              <w:rPr>
                <w:b/>
                <w:bCs/>
                <w:color w:val="FFFFFF"/>
                <w:sz w:val="20"/>
                <w:szCs w:val="20"/>
              </w:rPr>
              <w:t xml:space="preserve">Description</w:t>
            </w:r>
          </w:p>
        </w:tc>
        <w:tc>
          <w:tcPr>
            <w:tcW w:type="dxa" w:w="6750"/>
            <w:tcMar>
              <w:top w:type="dxa" w:w="100"/>
              <w:left w:type="dxa" w:w="120"/>
              <w:bottom w:type="dxa" w:w="100"/>
              <w:right w:type="dxa" w:w="120"/>
            </w:tcMar>
          </w:tcPr>
          <w:p>
            <w:r>
              <w:rPr>
                <w:b w:val="false"/>
                <w:bCs w:val="false"/>
                <w:color w:val="111827"/>
                <w:sz w:val="20"/>
                <w:szCs w:val="20"/>
              </w:rPr>
              <w:t xml:space="preserve">Engineers frustrated with approved tooling limitations may adopt unapproved AI coding assistants or MCP servers outside of Nimbus's governance process, reintroducing every risk above without any of the mitigations in place.</w:t>
            </w:r>
          </w:p>
        </w:tc>
      </w:tr>
      <w:tr>
        <w:tc>
          <w:tcPr>
            <w:tcW w:type="dxa" w:w="2600"/>
            <w:shd w:fill="1F2937" w:val="clear"/>
            <w:tcMar>
              <w:top w:type="dxa" w:w="100"/>
              <w:left w:type="dxa" w:w="120"/>
              <w:bottom w:type="dxa" w:w="100"/>
              <w:right w:type="dxa" w:w="120"/>
            </w:tcMar>
          </w:tcPr>
          <w:p>
            <w:r>
              <w:rPr>
                <w:b/>
                <w:bCs/>
                <w:color w:val="FFFFFF"/>
                <w:sz w:val="20"/>
                <w:szCs w:val="20"/>
              </w:rPr>
              <w:t xml:space="preserve">Related Incident</w:t>
            </w:r>
          </w:p>
        </w:tc>
        <w:tc>
          <w:tcPr>
            <w:tcW w:type="dxa" w:w="6750"/>
            <w:tcMar>
              <w:top w:type="dxa" w:w="100"/>
              <w:left w:type="dxa" w:w="120"/>
              <w:bottom w:type="dxa" w:w="100"/>
              <w:right w:type="dxa" w:w="120"/>
            </w:tcMar>
          </w:tcPr>
          <w:p>
            <w:r>
              <w:rPr>
                <w:b w:val="false"/>
                <w:bCs w:val="false"/>
                <w:color w:val="111827"/>
                <w:sz w:val="20"/>
                <w:szCs w:val="20"/>
              </w:rPr>
              <w:t xml:space="preserve">No single incident in the sourced article documents this directly, but it is the underlying condition that made the OX Security MCP findings possible at scale: over 32,000 dependent repositories relying on frameworks with limited vetting.</w:t>
            </w:r>
          </w:p>
        </w:tc>
      </w:tr>
      <w:tr>
        <w:tc>
          <w:tcPr>
            <w:tcW w:type="dxa" w:w="2600"/>
            <w:shd w:fill="1F2937" w:val="clear"/>
            <w:tcMar>
              <w:top w:type="dxa" w:w="100"/>
              <w:left w:type="dxa" w:w="120"/>
              <w:bottom w:type="dxa" w:w="100"/>
              <w:right w:type="dxa" w:w="120"/>
            </w:tcMar>
          </w:tcPr>
          <w:p>
            <w:r>
              <w:rPr>
                <w:b/>
                <w:bCs/>
                <w:color w:val="FFFFFF"/>
                <w:sz w:val="20"/>
                <w:szCs w:val="20"/>
              </w:rPr>
              <w:t xml:space="preserve">Framework Mapping</w:t>
            </w:r>
          </w:p>
        </w:tc>
        <w:tc>
          <w:tcPr>
            <w:tcW w:type="dxa" w:w="6750"/>
            <w:tcMar>
              <w:top w:type="dxa" w:w="100"/>
              <w:left w:type="dxa" w:w="120"/>
              <w:bottom w:type="dxa" w:w="100"/>
              <w:right w:type="dxa" w:w="120"/>
            </w:tcMar>
          </w:tcPr>
          <w:p>
            <w:r>
              <w:rPr>
                <w:b w:val="false"/>
                <w:bCs w:val="false"/>
                <w:color w:val="111827"/>
                <w:sz w:val="20"/>
                <w:szCs w:val="20"/>
              </w:rPr>
              <w:t xml:space="preserve">NIST AI RMF, Govern function</w:t>
            </w:r>
          </w:p>
        </w:tc>
      </w:tr>
      <w:tr>
        <w:tc>
          <w:tcPr>
            <w:tcW w:type="dxa" w:w="2600"/>
            <w:shd w:fill="1F2937" w:val="clear"/>
            <w:tcMar>
              <w:top w:type="dxa" w:w="100"/>
              <w:left w:type="dxa" w:w="120"/>
              <w:bottom w:type="dxa" w:w="100"/>
              <w:right w:type="dxa" w:w="120"/>
            </w:tcMar>
          </w:tcPr>
          <w:p>
            <w:r>
              <w:rPr>
                <w:b/>
                <w:bCs/>
                <w:color w:val="FFFFFF"/>
                <w:sz w:val="20"/>
                <w:szCs w:val="20"/>
              </w:rPr>
              <w:t xml:space="preserve">Likelihood</w:t>
            </w:r>
          </w:p>
        </w:tc>
        <w:tc>
          <w:tcPr>
            <w:tcW w:type="dxa" w:w="6750"/>
            <w:tcMar>
              <w:top w:type="dxa" w:w="100"/>
              <w:left w:type="dxa" w:w="120"/>
              <w:bottom w:type="dxa" w:w="100"/>
              <w:right w:type="dxa" w:w="120"/>
            </w:tcMar>
          </w:tcPr>
          <w:p>
            <w:r>
              <w:rPr>
                <w:b w:val="false"/>
                <w:bCs w:val="false"/>
                <w:color w:val="111827"/>
                <w:sz w:val="20"/>
                <w:szCs w:val="20"/>
              </w:rPr>
              <w:t xml:space="preserve">High. Shadow IT and shadow AI adoption is well documented across the industry and requires no special access to occur.</w:t>
            </w:r>
          </w:p>
        </w:tc>
      </w:tr>
      <w:tr>
        <w:tc>
          <w:tcPr>
            <w:tcW w:type="dxa" w:w="2600"/>
            <w:shd w:fill="1F2937" w:val="clear"/>
            <w:tcMar>
              <w:top w:type="dxa" w:w="100"/>
              <w:left w:type="dxa" w:w="120"/>
              <w:bottom w:type="dxa" w:w="100"/>
              <w:right w:type="dxa" w:w="120"/>
            </w:tcMar>
          </w:tcPr>
          <w:p>
            <w:r>
              <w:rPr>
                <w:b/>
                <w:bCs/>
                <w:color w:val="FFFFFF"/>
                <w:sz w:val="20"/>
                <w:szCs w:val="20"/>
              </w:rPr>
              <w:t xml:space="preserve">Impact</w:t>
            </w:r>
          </w:p>
        </w:tc>
        <w:tc>
          <w:tcPr>
            <w:tcW w:type="dxa" w:w="6750"/>
            <w:tcMar>
              <w:top w:type="dxa" w:w="100"/>
              <w:left w:type="dxa" w:w="120"/>
              <w:bottom w:type="dxa" w:w="100"/>
              <w:right w:type="dxa" w:w="120"/>
            </w:tcMar>
          </w:tcPr>
          <w:p>
            <w:r>
              <w:rPr>
                <w:b w:val="false"/>
                <w:bCs w:val="false"/>
                <w:color w:val="111827"/>
                <w:sz w:val="20"/>
                <w:szCs w:val="20"/>
              </w:rPr>
              <w:t xml:space="preserve">Medium. Impact depends entirely on what the unapproved tool has access to, but it removes visibility as a baseline.</w:t>
            </w:r>
          </w:p>
        </w:tc>
      </w:tr>
      <w:tr>
        <w:tc>
          <w:tcPr>
            <w:tcW w:type="dxa" w:w="2600"/>
            <w:shd w:fill="1F2937" w:val="clear"/>
            <w:tcMar>
              <w:top w:type="dxa" w:w="100"/>
              <w:left w:type="dxa" w:w="120"/>
              <w:bottom w:type="dxa" w:w="100"/>
              <w:right w:type="dxa" w:w="120"/>
            </w:tcMar>
          </w:tcPr>
          <w:p>
            <w:r>
              <w:rPr>
                <w:b/>
                <w:bCs/>
                <w:color w:val="FFFFFF"/>
                <w:sz w:val="20"/>
                <w:szCs w:val="20"/>
              </w:rPr>
              <w:t xml:space="preserve">Priority</w:t>
            </w:r>
          </w:p>
        </w:tc>
        <w:tc>
          <w:tcPr>
            <w:tcW w:type="dxa" w:w="6750"/>
            <w:tcMar>
              <w:top w:type="dxa" w:w="100"/>
              <w:left w:type="dxa" w:w="120"/>
              <w:bottom w:type="dxa" w:w="100"/>
              <w:right w:type="dxa" w:w="120"/>
            </w:tcMar>
          </w:tcPr>
          <w:p>
            <w:r>
              <w:rPr>
                <w:b w:val="false"/>
                <w:bCs w:val="false"/>
                <w:color w:val="111827"/>
                <w:sz w:val="20"/>
                <w:szCs w:val="20"/>
              </w:rPr>
              <w:t xml:space="preserve">High</w:t>
            </w:r>
          </w:p>
        </w:tc>
      </w:tr>
      <w:tr>
        <w:tc>
          <w:tcPr>
            <w:tcW w:type="dxa" w:w="2600"/>
            <w:shd w:fill="1F2937" w:val="clear"/>
            <w:tcMar>
              <w:top w:type="dxa" w:w="100"/>
              <w:left w:type="dxa" w:w="120"/>
              <w:bottom w:type="dxa" w:w="100"/>
              <w:right w:type="dxa" w:w="120"/>
            </w:tcMar>
          </w:tcPr>
          <w:p>
            <w:r>
              <w:rPr>
                <w:b/>
                <w:bCs/>
                <w:color w:val="FFFFFF"/>
                <w:sz w:val="20"/>
                <w:szCs w:val="20"/>
              </w:rPr>
              <w:t xml:space="preserve">Recommended Mitigation</w:t>
            </w:r>
          </w:p>
        </w:tc>
        <w:tc>
          <w:tcPr>
            <w:tcW w:type="dxa" w:w="6750"/>
            <w:tcMar>
              <w:top w:type="dxa" w:w="100"/>
              <w:left w:type="dxa" w:w="120"/>
              <w:bottom w:type="dxa" w:w="100"/>
              <w:right w:type="dxa" w:w="120"/>
            </w:tcMar>
          </w:tcPr>
          <w:p>
            <w:r>
              <w:rPr>
                <w:b w:val="false"/>
                <w:bCs w:val="false"/>
                <w:color w:val="111827"/>
                <w:sz w:val="20"/>
                <w:szCs w:val="20"/>
              </w:rPr>
              <w:t xml:space="preserve">Provide an easy, fast-tracked approval path for new AI tools so engineers are not incentivized to go around governance, paired with network-level detection of unapproved AI tool traffic.</w:t>
            </w:r>
          </w:p>
        </w:tc>
      </w:tr>
    </w:tbl>
    <w:p>
      <w:pPr>
        <w:spacing w:after="200"/>
      </w:pPr>
    </w:p>
    <w:p>
      <w:pPr>
        <w:pStyle w:val="Heading2"/>
        <w:spacing w:after="120" w:before="240"/>
      </w:pPr>
      <w:r>
        <w:rPr>
          <w:b/>
          <w:bCs/>
          <w:color w:val="1F2937"/>
          <w:sz w:val="24"/>
          <w:szCs w:val="24"/>
        </w:rPr>
        <w:t xml:space="preserve">R-08: Excessive Agent Permissions Enabling Unintended Actions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937" w:val="clear"/>
            <w:tcMar>
              <w:top w:type="dxa" w:w="100"/>
              <w:left w:type="dxa" w:w="120"/>
              <w:bottom w:type="dxa" w:w="100"/>
              <w:right w:type="dxa" w:w="120"/>
            </w:tcMar>
          </w:tcPr>
          <w:p>
            <w:r>
              <w:rPr>
                <w:b/>
                <w:bCs/>
                <w:color w:val="FFFFFF"/>
                <w:sz w:val="20"/>
                <w:szCs w:val="20"/>
              </w:rPr>
              <w:t xml:space="preserve">Risk ID</w:t>
            </w:r>
          </w:p>
        </w:tc>
        <w:tc>
          <w:tcPr>
            <w:tcW w:type="dxa" w:w="6750"/>
            <w:tcMar>
              <w:top w:type="dxa" w:w="100"/>
              <w:left w:type="dxa" w:w="120"/>
              <w:bottom w:type="dxa" w:w="100"/>
              <w:right w:type="dxa" w:w="120"/>
            </w:tcMar>
          </w:tcPr>
          <w:p>
            <w:r>
              <w:rPr>
                <w:b w:val="false"/>
                <w:bCs w:val="false"/>
                <w:color w:val="111827"/>
                <w:sz w:val="20"/>
                <w:szCs w:val="20"/>
              </w:rPr>
              <w:t xml:space="preserve">R-08</w:t>
            </w:r>
          </w:p>
        </w:tc>
      </w:tr>
      <w:tr>
        <w:tc>
          <w:tcPr>
            <w:tcW w:type="dxa" w:w="2600"/>
            <w:shd w:fill="1F2937" w:val="clear"/>
            <w:tcMar>
              <w:top w:type="dxa" w:w="100"/>
              <w:left w:type="dxa" w:w="120"/>
              <w:bottom w:type="dxa" w:w="100"/>
              <w:right w:type="dxa" w:w="120"/>
            </w:tcMar>
          </w:tcPr>
          <w:p>
            <w:r>
              <w:rPr>
                <w:b/>
                <w:bCs/>
                <w:color w:val="FFFFFF"/>
                <w:sz w:val="20"/>
                <w:szCs w:val="20"/>
              </w:rPr>
              <w:t xml:space="preserve">Risk Name</w:t>
            </w:r>
          </w:p>
        </w:tc>
        <w:tc>
          <w:tcPr>
            <w:tcW w:type="dxa" w:w="6750"/>
            <w:tcMar>
              <w:top w:type="dxa" w:w="100"/>
              <w:left w:type="dxa" w:w="120"/>
              <w:bottom w:type="dxa" w:w="100"/>
              <w:right w:type="dxa" w:w="120"/>
            </w:tcMar>
          </w:tcPr>
          <w:p>
            <w:r>
              <w:rPr>
                <w:b w:val="false"/>
                <w:bCs w:val="false"/>
                <w:color w:val="111827"/>
                <w:sz w:val="20"/>
                <w:szCs w:val="20"/>
              </w:rPr>
              <w:t xml:space="preserve">Excessive Agent Permissions Enabling Unintended Actions</w:t>
            </w:r>
          </w:p>
        </w:tc>
      </w:tr>
      <w:tr>
        <w:tc>
          <w:tcPr>
            <w:tcW w:type="dxa" w:w="2600"/>
            <w:shd w:fill="1F2937" w:val="clear"/>
            <w:tcMar>
              <w:top w:type="dxa" w:w="100"/>
              <w:left w:type="dxa" w:w="120"/>
              <w:bottom w:type="dxa" w:w="100"/>
              <w:right w:type="dxa" w:w="120"/>
            </w:tcMar>
          </w:tcPr>
          <w:p>
            <w:r>
              <w:rPr>
                <w:b/>
                <w:bCs/>
                <w:color w:val="FFFFFF"/>
                <w:sz w:val="20"/>
                <w:szCs w:val="20"/>
              </w:rPr>
              <w:t xml:space="preserve">Affected AI System</w:t>
            </w:r>
          </w:p>
        </w:tc>
        <w:tc>
          <w:tcPr>
            <w:tcW w:type="dxa" w:w="6750"/>
            <w:tcMar>
              <w:top w:type="dxa" w:w="100"/>
              <w:left w:type="dxa" w:w="120"/>
              <w:bottom w:type="dxa" w:w="100"/>
              <w:right w:type="dxa" w:w="120"/>
            </w:tcMar>
          </w:tcPr>
          <w:p>
            <w:r>
              <w:rPr>
                <w:b w:val="false"/>
                <w:bCs w:val="false"/>
                <w:color w:val="111827"/>
                <w:sz w:val="20"/>
                <w:szCs w:val="20"/>
              </w:rPr>
              <w:t xml:space="preserve">AI Coding Agent and Incident-Response Agent</w:t>
            </w:r>
          </w:p>
        </w:tc>
      </w:tr>
      <w:tr>
        <w:tc>
          <w:tcPr>
            <w:tcW w:type="dxa" w:w="2600"/>
            <w:shd w:fill="1F2937" w:val="clear"/>
            <w:tcMar>
              <w:top w:type="dxa" w:w="100"/>
              <w:left w:type="dxa" w:w="120"/>
              <w:bottom w:type="dxa" w:w="100"/>
              <w:right w:type="dxa" w:w="120"/>
            </w:tcMar>
          </w:tcPr>
          <w:p>
            <w:r>
              <w:rPr>
                <w:b/>
                <w:bCs/>
                <w:color w:val="FFFFFF"/>
                <w:sz w:val="20"/>
                <w:szCs w:val="20"/>
              </w:rPr>
              <w:t xml:space="preserve">Description</w:t>
            </w:r>
          </w:p>
        </w:tc>
        <w:tc>
          <w:tcPr>
            <w:tcW w:type="dxa" w:w="6750"/>
            <w:tcMar>
              <w:top w:type="dxa" w:w="100"/>
              <w:left w:type="dxa" w:w="120"/>
              <w:bottom w:type="dxa" w:w="100"/>
              <w:right w:type="dxa" w:w="120"/>
            </w:tcMar>
          </w:tcPr>
          <w:p>
            <w:r>
              <w:rPr>
                <w:b w:val="false"/>
                <w:bCs w:val="false"/>
                <w:color w:val="111827"/>
                <w:sz w:val="20"/>
                <w:szCs w:val="20"/>
              </w:rPr>
              <w:t xml:space="preserve">Both of Nimbus's autonomous agents are granted broad tool permissions to remain useful across many tasks. This same design choice is what allowed each incident in the sourced article to escalate from a model behavior issue into a real-world action with consequences.</w:t>
            </w:r>
          </w:p>
        </w:tc>
      </w:tr>
      <w:tr>
        <w:tc>
          <w:tcPr>
            <w:tcW w:type="dxa" w:w="2600"/>
            <w:shd w:fill="1F2937" w:val="clear"/>
            <w:tcMar>
              <w:top w:type="dxa" w:w="100"/>
              <w:left w:type="dxa" w:w="120"/>
              <w:bottom w:type="dxa" w:w="100"/>
              <w:right w:type="dxa" w:w="120"/>
            </w:tcMar>
          </w:tcPr>
          <w:p>
            <w:r>
              <w:rPr>
                <w:b/>
                <w:bCs/>
                <w:color w:val="FFFFFF"/>
                <w:sz w:val="20"/>
                <w:szCs w:val="20"/>
              </w:rPr>
              <w:t xml:space="preserve">Related Incident</w:t>
            </w:r>
          </w:p>
        </w:tc>
        <w:tc>
          <w:tcPr>
            <w:tcW w:type="dxa" w:w="6750"/>
            <w:tcMar>
              <w:top w:type="dxa" w:w="100"/>
              <w:left w:type="dxa" w:w="120"/>
              <w:bottom w:type="dxa" w:w="100"/>
              <w:right w:type="dxa" w:w="120"/>
            </w:tcMar>
          </w:tcPr>
          <w:p>
            <w:r>
              <w:rPr>
                <w:b w:val="false"/>
                <w:bCs w:val="false"/>
                <w:color w:val="111827"/>
                <w:sz w:val="20"/>
                <w:szCs w:val="20"/>
              </w:rPr>
              <w:t xml:space="preserve">This risk is the common thread across all five incidents in the sourced article: in each case, the AI system's ability to act, not merely to answer, is what turned a model failure into an operational or financial incident.</w:t>
            </w:r>
          </w:p>
        </w:tc>
      </w:tr>
      <w:tr>
        <w:tc>
          <w:tcPr>
            <w:tcW w:type="dxa" w:w="2600"/>
            <w:shd w:fill="1F2937" w:val="clear"/>
            <w:tcMar>
              <w:top w:type="dxa" w:w="100"/>
              <w:left w:type="dxa" w:w="120"/>
              <w:bottom w:type="dxa" w:w="100"/>
              <w:right w:type="dxa" w:w="120"/>
            </w:tcMar>
          </w:tcPr>
          <w:p>
            <w:r>
              <w:rPr>
                <w:b/>
                <w:bCs/>
                <w:color w:val="FFFFFF"/>
                <w:sz w:val="20"/>
                <w:szCs w:val="20"/>
              </w:rPr>
              <w:t xml:space="preserve">Framework Mapping</w:t>
            </w:r>
          </w:p>
        </w:tc>
        <w:tc>
          <w:tcPr>
            <w:tcW w:type="dxa" w:w="6750"/>
            <w:tcMar>
              <w:top w:type="dxa" w:w="100"/>
              <w:left w:type="dxa" w:w="120"/>
              <w:bottom w:type="dxa" w:w="100"/>
              <w:right w:type="dxa" w:w="120"/>
            </w:tcMar>
          </w:tcPr>
          <w:p>
            <w:r>
              <w:rPr>
                <w:b w:val="false"/>
                <w:bCs w:val="false"/>
                <w:color w:val="111827"/>
                <w:sz w:val="20"/>
                <w:szCs w:val="20"/>
              </w:rPr>
              <w:t xml:space="preserve">OWASP LLM Top 10, LLM08: Excessive Agency</w:t>
            </w:r>
          </w:p>
        </w:tc>
      </w:tr>
      <w:tr>
        <w:tc>
          <w:tcPr>
            <w:tcW w:type="dxa" w:w="2600"/>
            <w:shd w:fill="1F2937" w:val="clear"/>
            <w:tcMar>
              <w:top w:type="dxa" w:w="100"/>
              <w:left w:type="dxa" w:w="120"/>
              <w:bottom w:type="dxa" w:w="100"/>
              <w:right w:type="dxa" w:w="120"/>
            </w:tcMar>
          </w:tcPr>
          <w:p>
            <w:r>
              <w:rPr>
                <w:b/>
                <w:bCs/>
                <w:color w:val="FFFFFF"/>
                <w:sz w:val="20"/>
                <w:szCs w:val="20"/>
              </w:rPr>
              <w:t xml:space="preserve">Likelihood</w:t>
            </w:r>
          </w:p>
        </w:tc>
        <w:tc>
          <w:tcPr>
            <w:tcW w:type="dxa" w:w="6750"/>
            <w:tcMar>
              <w:top w:type="dxa" w:w="100"/>
              <w:left w:type="dxa" w:w="120"/>
              <w:bottom w:type="dxa" w:w="100"/>
              <w:right w:type="dxa" w:w="120"/>
            </w:tcMar>
          </w:tcPr>
          <w:p>
            <w:r>
              <w:rPr>
                <w:b w:val="false"/>
                <w:bCs w:val="false"/>
                <w:color w:val="111827"/>
                <w:sz w:val="20"/>
                <w:szCs w:val="20"/>
              </w:rPr>
              <w:t xml:space="preserve">Medium. This is a design-level risk present by default unless deliberately constrained.</w:t>
            </w:r>
          </w:p>
        </w:tc>
      </w:tr>
      <w:tr>
        <w:tc>
          <w:tcPr>
            <w:tcW w:type="dxa" w:w="2600"/>
            <w:shd w:fill="1F2937" w:val="clear"/>
            <w:tcMar>
              <w:top w:type="dxa" w:w="100"/>
              <w:left w:type="dxa" w:w="120"/>
              <w:bottom w:type="dxa" w:w="100"/>
              <w:right w:type="dxa" w:w="120"/>
            </w:tcMar>
          </w:tcPr>
          <w:p>
            <w:r>
              <w:rPr>
                <w:b/>
                <w:bCs/>
                <w:color w:val="FFFFFF"/>
                <w:sz w:val="20"/>
                <w:szCs w:val="20"/>
              </w:rPr>
              <w:t xml:space="preserve">Impact</w:t>
            </w:r>
          </w:p>
        </w:tc>
        <w:tc>
          <w:tcPr>
            <w:tcW w:type="dxa" w:w="6750"/>
            <w:tcMar>
              <w:top w:type="dxa" w:w="100"/>
              <w:left w:type="dxa" w:w="120"/>
              <w:bottom w:type="dxa" w:w="100"/>
              <w:right w:type="dxa" w:w="120"/>
            </w:tcMar>
          </w:tcPr>
          <w:p>
            <w:r>
              <w:rPr>
                <w:b w:val="false"/>
                <w:bCs w:val="false"/>
                <w:color w:val="111827"/>
                <w:sz w:val="20"/>
                <w:szCs w:val="20"/>
              </w:rPr>
              <w:t xml:space="preserve">High. This risk amplifies the impact of every other risk in this register.</w:t>
            </w:r>
          </w:p>
        </w:tc>
      </w:tr>
      <w:tr>
        <w:tc>
          <w:tcPr>
            <w:tcW w:type="dxa" w:w="2600"/>
            <w:shd w:fill="1F2937" w:val="clear"/>
            <w:tcMar>
              <w:top w:type="dxa" w:w="100"/>
              <w:left w:type="dxa" w:w="120"/>
              <w:bottom w:type="dxa" w:w="100"/>
              <w:right w:type="dxa" w:w="120"/>
            </w:tcMar>
          </w:tcPr>
          <w:p>
            <w:r>
              <w:rPr>
                <w:b/>
                <w:bCs/>
                <w:color w:val="FFFFFF"/>
                <w:sz w:val="20"/>
                <w:szCs w:val="20"/>
              </w:rPr>
              <w:t xml:space="preserve">Priority</w:t>
            </w:r>
          </w:p>
        </w:tc>
        <w:tc>
          <w:tcPr>
            <w:tcW w:type="dxa" w:w="6750"/>
            <w:tcMar>
              <w:top w:type="dxa" w:w="100"/>
              <w:left w:type="dxa" w:w="120"/>
              <w:bottom w:type="dxa" w:w="100"/>
              <w:right w:type="dxa" w:w="120"/>
            </w:tcMar>
          </w:tcPr>
          <w:p>
            <w:r>
              <w:rPr>
                <w:b w:val="false"/>
                <w:bCs w:val="false"/>
                <w:color w:val="111827"/>
                <w:sz w:val="20"/>
                <w:szCs w:val="20"/>
              </w:rPr>
              <w:t xml:space="preserve">Critical</w:t>
            </w:r>
          </w:p>
        </w:tc>
      </w:tr>
      <w:tr>
        <w:tc>
          <w:tcPr>
            <w:tcW w:type="dxa" w:w="2600"/>
            <w:shd w:fill="1F2937" w:val="clear"/>
            <w:tcMar>
              <w:top w:type="dxa" w:w="100"/>
              <w:left w:type="dxa" w:w="120"/>
              <w:bottom w:type="dxa" w:w="100"/>
              <w:right w:type="dxa" w:w="120"/>
            </w:tcMar>
          </w:tcPr>
          <w:p>
            <w:r>
              <w:rPr>
                <w:b/>
                <w:bCs/>
                <w:color w:val="FFFFFF"/>
                <w:sz w:val="20"/>
                <w:szCs w:val="20"/>
              </w:rPr>
              <w:t xml:space="preserve">Recommended Mitigation</w:t>
            </w:r>
          </w:p>
        </w:tc>
        <w:tc>
          <w:tcPr>
            <w:tcW w:type="dxa" w:w="6750"/>
            <w:tcMar>
              <w:top w:type="dxa" w:w="100"/>
              <w:left w:type="dxa" w:w="120"/>
              <w:bottom w:type="dxa" w:w="100"/>
              <w:right w:type="dxa" w:w="120"/>
            </w:tcMar>
          </w:tcPr>
          <w:p>
            <w:r>
              <w:rPr>
                <w:b w:val="false"/>
                <w:bCs w:val="false"/>
                <w:color w:val="111827"/>
                <w:sz w:val="20"/>
                <w:szCs w:val="20"/>
              </w:rPr>
              <w:t xml:space="preserve">Apply least-privilege permissioning per agent task rather than per agent overall, and require periodic review of what each agent is actually authorized to do versus what it needs.</w:t>
            </w:r>
          </w:p>
        </w:tc>
      </w:tr>
    </w:tbl>
    <w:p>
      <w:pPr>
        <w:spacing w:after="200"/>
      </w:pPr>
    </w:p>
    <w:p>
      <w:pPr>
        <w:pStyle w:val="Heading1"/>
        <w:spacing w:after="160" w:before="360"/>
      </w:pPr>
      <w:r>
        <w:rPr>
          <w:b/>
          <w:bCs/>
          <w:color w:val="1F2937"/>
          <w:sz w:val="30"/>
          <w:szCs w:val="30"/>
        </w:rPr>
        <w:t xml:space="preserve">Note on Method</w:t>
      </w:r>
    </w:p>
    <w:p>
      <w:pPr>
        <w:spacing w:after="160" w:line="300"/>
      </w:pPr>
      <w:r>
        <w:rPr>
          <w:sz w:val="22"/>
          <w:szCs w:val="22"/>
        </w:rPr>
        <w:t xml:space="preserve">Risks R-01 through R-05 each map directly to one of the five incidents in the sourced Threat Landscape article. Risks R-06 through R-08 are derived risks: they are not individually documented incidents, but follow logically from the access patterns and design choices described across the sourced incidents. This distinction is called out explicitly in each entry's Related Incident field, consistent with the protocol's requirement to state clearly when a risk is inferred rather than directly evidenced.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2026-09-23T17:07:26.582Z</dcterms:created>
  <dcterms:modified xsi:type="dcterms:W3CDTF">2026-09-23T17:07:26.593Z</dcterms:modified>
</cp:coreProperties>
</file>

<file path=docProps/custom.xml><?xml version="1.0" encoding="utf-8"?>
<Properties xmlns="http://schemas.openxmlformats.org/officeDocument/2006/custom-properties" xmlns:vt="http://schemas.openxmlformats.org/officeDocument/2006/docPropsVTypes"/>
</file>