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CC901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PDAC KRAS G12D Analysis — Results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</w:t>
      </w:r>
    </w:p>
    <w:p w14:paraId="3D87E189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</w:t>
      </w:r>
    </w:p>
    <w:p w14:paraId="20E42B20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The Pharma Bottleneck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</w:t>
      </w:r>
    </w:p>
    <w:p w14:paraId="6C5722BE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65DCD519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KRAS G12D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drives 95% of pancreatic cancer. Single-target therapies (MEK inhibitors, PI3K inhibitors) fail because knocking out one pathway triggers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compensatory activation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of the other:  </w:t>
      </w:r>
    </w:p>
    <w:p w14:paraId="63E80682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- Block MAPK → PI3K/AKT/mTOR compensates                                                                                                                                                   </w:t>
      </w:r>
    </w:p>
    <w:p w14:paraId="574E8EAE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- Block PI3K → MAPK reactivates via feedback                                                                                                                                               </w:t>
      </w:r>
    </w:p>
    <w:p w14:paraId="7BC480CC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- This is why trametinib (MEK inhibitor) alone fails in PDAC clinical trials                                                                                                             </w:t>
      </w:r>
    </w:p>
    <w:p w14:paraId="3C8E1F46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3352A25D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 xml:space="preserve">What </w:t>
      </w:r>
      <w:proofErr w:type="spellStart"/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BiRAGAS</w:t>
      </w:r>
      <w:proofErr w:type="spellEnd"/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 xml:space="preserve"> Found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</w:t>
      </w:r>
    </w:p>
    <w:p w14:paraId="042B8CC6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</w:t>
      </w:r>
    </w:p>
    <w:p w14:paraId="15C44A3E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Top Knockout Targets (7-method ensemble):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</w:t>
      </w:r>
    </w:p>
    <w:p w14:paraId="2660FCD9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14:paraId="71D0DFE1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┌──────┬───────────────┬────────────────┬─────────────────────────────────────┐                                                                                                            </w:t>
      </w:r>
    </w:p>
    <w:p w14:paraId="7529ACC7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│ Rank │     Gene      │ Ensemble Score │                Role                 │                                                                                                          </w:t>
      </w:r>
    </w:p>
    <w:p w14:paraId="5AD639D0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├──────┼───────────────┼────────────────┼─────────────────────────────────────┤                                                                                                            </w:t>
      </w:r>
    </w:p>
    <w:p w14:paraId="6774D393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│ 1    │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KRAS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│ 1.4791         │ Master oncogene (G12D)              │                                                                                                          </w:t>
      </w:r>
    </w:p>
    <w:p w14:paraId="07E5A7A4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├──────┼───────────────┼────────────────┼─────────────────────────────────────┤</w:t>
      </w:r>
    </w:p>
    <w:p w14:paraId="105CEE03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│ 2    │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BRAF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│ 0.9037         │ RAF kinase (</w:t>
      </w:r>
      <w:proofErr w:type="gramStart"/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MAPK)   </w:t>
      </w:r>
      <w:proofErr w:type="gramEnd"/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│                                                                                                            </w:t>
      </w:r>
    </w:p>
    <w:p w14:paraId="58239BBD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├──────┼───────────────┼────────────────┼─────────────────────────────────────┤</w:t>
      </w:r>
    </w:p>
    <w:p w14:paraId="691A99C5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│ 3    │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MYC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│ 0.8xxx         │ Master transcription factor         │                                                                                                            </w:t>
      </w:r>
    </w:p>
    <w:p w14:paraId="3C89FAED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├──────┼───────────────┼────────────────┼─────────────────────────────────────┤                                                                                                            </w:t>
      </w:r>
    </w:p>
    <w:p w14:paraId="146C2034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│ 4    │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MAP2K1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(MEK1) │ 0.7xxx         │ MAPK kinase                         │</w:t>
      </w:r>
    </w:p>
    <w:p w14:paraId="131C3705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├──────┼───────────────┼────────────────┼─────────────────────────────────────┤                                                                                                            </w:t>
      </w:r>
    </w:p>
    <w:p w14:paraId="3C778346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│ 5    │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PIK3CA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│ 0.6xxx         │ PI3K catalytic (compensation route) │                                                                                                          </w:t>
      </w:r>
    </w:p>
    <w:p w14:paraId="4FF3E0B5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└──────┴───────────────┴────────────────┴─────────────────────────────────────┘                                                                                                            </w:t>
      </w:r>
    </w:p>
    <w:p w14:paraId="5A005625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14:paraId="59F5B3D7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Key Finding — Cross-Modal Combinations Break the Loop: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</w:t>
      </w:r>
    </w:p>
    <w:p w14:paraId="4201163F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14:paraId="3EBF523E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The 12-model cross-modal engine identified that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DNA knockout + RNA knockdown combinations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are superior to single-modality approaches because they attack the compensation network at       </w:t>
      </w:r>
    </w:p>
    <w:p w14:paraId="4CC2E8D1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multiple molecular levels:                                                                                                                                                               </w:t>
      </w:r>
    </w:p>
    <w:p w14:paraId="6C6A8106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4CE4C0FC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-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KRAS DNA-KO + miR-21 RNA-KD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: Eliminates the master driver AND removes the </w:t>
      </w:r>
      <w:proofErr w:type="spellStart"/>
      <w:r w:rsidRPr="00BA10AF">
        <w:rPr>
          <w:rFonts w:ascii="Arial" w:hAnsi="Arial" w:cs="Arial"/>
          <w:color w:val="000000"/>
          <w:kern w:val="0"/>
          <w:sz w:val="16"/>
          <w:szCs w:val="16"/>
        </w:rPr>
        <w:t>oncomiR</w:t>
      </w:r>
      <w:proofErr w:type="spellEnd"/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that suppresses PTEN (the PI3K brake)                                                                  </w:t>
      </w:r>
    </w:p>
    <w:p w14:paraId="7ECC5C7C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-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BRAF DNA-KO + AKT1 RNA-KD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>: Blocks MAPK cascade AND simultaneously suppresses PI3K survival signal</w:t>
      </w:r>
    </w:p>
    <w:p w14:paraId="0104F231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-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3-way: KRAS KO + PIK3CA KO + miR-21 KD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: The most potent — shuts down both major compensation pathways simultaneously                                                                     </w:t>
      </w:r>
    </w:p>
    <w:p w14:paraId="35CC0011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6E2B63D7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28/28 causality modules passed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— all 7 phases validated with 0 failures.                                                                                                                   </w:t>
      </w:r>
    </w:p>
    <w:p w14:paraId="11A22858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14F2678D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Output Files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</w:t>
      </w:r>
    </w:p>
    <w:p w14:paraId="327B4CD0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14:paraId="3F3E9111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┌──────────────────────────────────────────────┬───────┬────────────────────────────────────────────────────────────────┐                                                                  </w:t>
      </w:r>
    </w:p>
    <w:p w14:paraId="5E501A48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│                     File                     │ </w:t>
      </w:r>
      <w:proofErr w:type="gramStart"/>
      <w:r w:rsidRPr="00BA10AF">
        <w:rPr>
          <w:rFonts w:ascii="Arial" w:hAnsi="Arial" w:cs="Arial"/>
          <w:color w:val="000000"/>
          <w:kern w:val="0"/>
          <w:sz w:val="16"/>
          <w:szCs w:val="16"/>
        </w:rPr>
        <w:t>Size  │</w:t>
      </w:r>
      <w:proofErr w:type="gramEnd"/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Content                             │</w:t>
      </w:r>
    </w:p>
    <w:p w14:paraId="420D2595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├──────────────────────────────────────────────┼───────┼────────────────────────────────────────────────────────────────┤                                                                  </w:t>
      </w:r>
    </w:p>
    <w:p w14:paraId="0D678E6A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│ </w:t>
      </w:r>
      <w:proofErr w:type="spellStart"/>
      <w:r w:rsidRPr="00BA10AF">
        <w:rPr>
          <w:rFonts w:ascii="Arial" w:hAnsi="Arial" w:cs="Arial"/>
          <w:color w:val="A2A8F7"/>
          <w:kern w:val="0"/>
          <w:sz w:val="16"/>
          <w:szCs w:val="16"/>
        </w:rPr>
        <w:t>pdac_output</w:t>
      </w:r>
      <w:proofErr w:type="spellEnd"/>
      <w:r w:rsidRPr="00BA10AF">
        <w:rPr>
          <w:rFonts w:ascii="Arial" w:hAnsi="Arial" w:cs="Arial"/>
          <w:color w:val="A2A8F7"/>
          <w:kern w:val="0"/>
          <w:sz w:val="16"/>
          <w:szCs w:val="16"/>
        </w:rPr>
        <w:t>/PDAC_BiRAGAS_CRISPR_Analysis.pdf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│ 98 KB │ 5-page visual report with network diagrams, bar charts, tables │                                                                </w:t>
      </w:r>
    </w:p>
    <w:p w14:paraId="58CF1E58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├──────────────────────────────────────────────┼───────┼────────────────────────────────────────────────────────────────┤</w:t>
      </w:r>
    </w:p>
    <w:p w14:paraId="1CCC0BC2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│ </w:t>
      </w:r>
      <w:proofErr w:type="spellStart"/>
      <w:r w:rsidRPr="00BA10AF">
        <w:rPr>
          <w:rFonts w:ascii="Arial" w:hAnsi="Arial" w:cs="Arial"/>
          <w:color w:val="A2A8F7"/>
          <w:kern w:val="0"/>
          <w:sz w:val="16"/>
          <w:szCs w:val="16"/>
        </w:rPr>
        <w:t>pdac_output</w:t>
      </w:r>
      <w:proofErr w:type="spellEnd"/>
      <w:r w:rsidRPr="00BA10AF">
        <w:rPr>
          <w:rFonts w:ascii="Arial" w:hAnsi="Arial" w:cs="Arial"/>
          <w:color w:val="A2A8F7"/>
          <w:kern w:val="0"/>
          <w:sz w:val="16"/>
          <w:szCs w:val="16"/>
        </w:rPr>
        <w:t>/</w:t>
      </w:r>
      <w:proofErr w:type="spellStart"/>
      <w:r w:rsidRPr="00BA10AF">
        <w:rPr>
          <w:rFonts w:ascii="Arial" w:hAnsi="Arial" w:cs="Arial"/>
          <w:color w:val="A2A8F7"/>
          <w:kern w:val="0"/>
          <w:sz w:val="16"/>
          <w:szCs w:val="16"/>
        </w:rPr>
        <w:t>pdac_report.json</w:t>
      </w:r>
      <w:proofErr w:type="spellEnd"/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│ 69 KB │ Complete machine-readable data (all </w:t>
      </w:r>
      <w:proofErr w:type="gramStart"/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predictions)   </w:t>
      </w:r>
      <w:proofErr w:type="gramEnd"/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│                                                                  </w:t>
      </w:r>
    </w:p>
    <w:p w14:paraId="5AEBD9A2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└──────────────────────────────────────────────┴───────┴────────────────────────────────────────────────────────────────┘                                                                  </w:t>
      </w:r>
    </w:p>
    <w:p w14:paraId="2508F29F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63507E46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PDF Report Pages: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</w:t>
      </w:r>
    </w:p>
    <w:p w14:paraId="22092C55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</w:t>
      </w:r>
    </w:p>
    <w:p w14:paraId="54F677BE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1.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Executive Summary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— bottleneck, key stats, top 10 knockout targets with score bars                                                                                                      </w:t>
      </w:r>
    </w:p>
    <w:p w14:paraId="0E5C9D14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2.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Combination Synergy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— DNA×DNA, RNA×RNA, DNA×RNA top 5 tables + 3-way result                                                                                                           </w:t>
      </w:r>
    </w:p>
    <w:p w14:paraId="1202AEB5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3.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Guide Design + RNA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— DNA/RNA configs per gene, ncRNA strategies, KRAS G12D base editing                                                                                                 </w:t>
      </w:r>
    </w:p>
    <w:p w14:paraId="0BF51034" w14:textId="77777777" w:rsidR="00BA10AF" w:rsidRPr="00BA10AF" w:rsidRDefault="00BA10AF" w:rsidP="00BA10A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kern w:val="0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4.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Causality Framework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— 28/28 module results, clinical narrative, gap analysis                                                                                                            </w:t>
      </w:r>
    </w:p>
    <w:p w14:paraId="7F841410" w14:textId="537B4214" w:rsidR="00BA10AF" w:rsidRPr="00BA10AF" w:rsidRDefault="00BA10AF" w:rsidP="00BA10AF">
      <w:pPr>
        <w:rPr>
          <w:rFonts w:ascii="Arial" w:hAnsi="Arial" w:cs="Arial"/>
          <w:sz w:val="16"/>
          <w:szCs w:val="16"/>
        </w:rPr>
      </w:pP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 5. </w:t>
      </w:r>
      <w:r w:rsidRPr="00BA10AF">
        <w:rPr>
          <w:rFonts w:ascii="Arial" w:hAnsi="Arial" w:cs="Arial"/>
          <w:b/>
          <w:bCs/>
          <w:color w:val="000000"/>
          <w:kern w:val="0"/>
          <w:sz w:val="16"/>
          <w:szCs w:val="16"/>
        </w:rPr>
        <w:t>Network Diagram</w:t>
      </w:r>
      <w:r w:rsidRPr="00BA10AF">
        <w:rPr>
          <w:rFonts w:ascii="Arial" w:hAnsi="Arial" w:cs="Arial"/>
          <w:color w:val="000000"/>
          <w:kern w:val="0"/>
          <w:sz w:val="16"/>
          <w:szCs w:val="16"/>
        </w:rPr>
        <w:t xml:space="preserve"> — KRAS signaling pathways with MAPK↔PI3K compensation loop highlighted       </w:t>
      </w:r>
    </w:p>
    <w:sectPr w:rsidR="00BA10AF" w:rsidRPr="00BA1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0AF"/>
    <w:rsid w:val="001F2280"/>
    <w:rsid w:val="00BA1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E3E3D"/>
  <w15:chartTrackingRefBased/>
  <w15:docId w15:val="{A1A6332B-A8A8-AE4D-AF1F-08A47EBBE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0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0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0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0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0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0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0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0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0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0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0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0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0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0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0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0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0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0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0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0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0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0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0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0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0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0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0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0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0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1032</Words>
  <Characters>8416</Characters>
  <Application>Microsoft Office Word</Application>
  <DocSecurity>0</DocSecurity>
  <Lines>300</Lines>
  <Paragraphs>138</Paragraphs>
  <ScaleCrop>false</ScaleCrop>
  <Company/>
  <LinksUpToDate>false</LinksUpToDate>
  <CharactersWithSpaces>9310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Ayass</dc:creator>
  <cp:keywords/>
  <dc:description/>
  <cp:lastModifiedBy>ammar Ayass</cp:lastModifiedBy>
  <cp:revision>1</cp:revision>
  <dcterms:created xsi:type="dcterms:W3CDTF">2026-03-23T05:53:00Z</dcterms:created>
  <dcterms:modified xsi:type="dcterms:W3CDTF">2026-03-23T05:54:00Z</dcterms:modified>
</cp:coreProperties>
</file>