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666666"/>
          <w:sz w:val="18"/>
        </w:rPr>
        <w:t>AYASS BIOSCIENCE · BIRAGAS PLATFORM</w:t>
      </w:r>
    </w:p>
    <w:p>
      <w:r>
        <w:rPr>
          <w:b/>
          <w:i w:val="0"/>
          <w:color w:val="C8102E"/>
          <w:sz w:val="20"/>
        </w:rPr>
        <w:t>BiRAGAS</w:t>
      </w:r>
    </w:p>
    <w:p>
      <w:r>
        <w:rPr>
          <w:b/>
          <w:i w:val="0"/>
          <w:color w:val="1A1A1A"/>
          <w:sz w:val="48"/>
        </w:rPr>
        <w:t>Financial Projections</w:t>
      </w:r>
    </w:p>
    <w:p>
      <w:r>
        <w:rPr>
          <w:b w:val="0"/>
          <w:i/>
          <w:color w:val="666666"/>
          <w:sz w:val="24"/>
        </w:rPr>
        <w:t>A 5-Year Bottom-Up Revenue Model</w:t>
      </w:r>
    </w:p>
    <w:p>
      <w:r>
        <w:rPr>
          <w:b w:val="0"/>
          <w:i w:val="0"/>
          <w:color w:val="666666"/>
          <w:sz w:val="20"/>
        </w:rPr>
        <w:t>Covering 30 markets · 5 revenue streams · base / bull / bear scenarios</w:t>
      </w:r>
    </w:p>
    <w:p>
      <w:r>
        <w:rPr>
          <w:b w:val="0"/>
          <w:i w:val="0"/>
          <w:color w:val="666666"/>
          <w:sz w:val="18"/>
        </w:rPr>
        <w:t>Ayass Bioscience, LLC · Texas · 2026-05-25 · CONFIDENTIAL · NDA</w:t>
      </w:r>
    </w:p>
    <w:p/>
    <w:p>
      <w:r>
        <w:rPr>
          <w:b/>
          <w:color w:val="C8102E"/>
          <w:sz w:val="26"/>
        </w:rPr>
        <w:t>Executive Summary</w:t>
      </w:r>
    </w:p>
    <w:p>
      <w:r>
        <w:rPr>
          <w:b w:val="0"/>
          <w:i w:val="0"/>
          <w:color w:val="222222"/>
          <w:sz w:val="22"/>
        </w:rPr>
        <w:t>BiRAGAS is a causal-inference AI platform that converts fragmented biological data into validated, FDA-aligned therapeutic targets. This document presents a bottom-up financial projection covering thirty addressable markets, five concurrent revenue streams, and a five-year horizon under base, bull, and bear scenarios.</w:t>
      </w:r>
    </w:p>
    <w:p>
      <w:r>
        <w:rPr>
          <w:b w:val="0"/>
          <w:i w:val="0"/>
          <w:color w:val="222222"/>
          <w:sz w:val="22"/>
        </w:rPr>
        <w:t>Top-line conclusion (base case): 2030 revenue of $618.8 million with $248.8 million of EBITDA (40.2% margin). 2028 inflection year: revenue $209.7 million, EBITDA $54.5 million (26.0% margin) — the year BiRAGAS crosses from growth-stage scale into mature-SaaS profitability. EBITDA-positive in 2027 at $11.4 million (12.4%).</w:t>
      </w:r>
    </w:p>
    <w:p>
      <w:r>
        <w:rPr>
          <w:b w:val="0"/>
          <w:i w:val="0"/>
          <w:color w:val="222222"/>
          <w:sz w:val="22"/>
        </w:rPr>
        <w:t>Cumulative 5-year addressable market across all 30 sub-markets is approximately $1.1 trillion in 2030 TAM (excluding the consumer wellness vertical, which is $8.5 trillion in itself but BiRAGAS's addressable share is intentionally 0.5%). BiRAGAS's serviceable obtainable market (SOM) at Year-5 penetration assumptions is approximately $1.9 billion — making the base-case 2030 revenue of $618.8 million a 32% capture of the SOM envelope.</w:t>
      </w:r>
    </w:p>
    <w:p>
      <w:r>
        <w:rPr>
          <w:b w:val="0"/>
          <w:i w:val="0"/>
          <w:color w:val="222222"/>
          <w:sz w:val="22"/>
        </w:rPr>
        <w:t>Customer counts are anchored to comparable contract counts published in Recursion Pharmaceuticals, Schrödinger Inc., Tempus AI, AbCellera Biologics, BenevolentAI 10-K filings and the Insilico Medicine S-1. Operating leverage ratios are benchmarked against Schrödinger's actual 240% → 78% OpEx-to-revenue trajectory over five fiscal years.</w:t>
      </w:r>
    </w:p>
    <w:p/>
    <w:p>
      <w:r>
        <w:rPr>
          <w:b/>
          <w:color w:val="1A1A1A"/>
          <w:sz w:val="26"/>
        </w:rPr>
        <w:t>Key figures — base case ($M unless noted)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2026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2027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2028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2029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2030</w:t>
            </w:r>
          </w:p>
        </w:tc>
      </w:tr>
      <w:tr>
        <w:tc>
          <w:tcPr>
            <w:tcW w:type="dxa" w:w="1608"/>
          </w:tcPr>
          <w:p>
            <w:r>
              <w:rPr>
                <w:b/>
              </w:rPr>
              <w:t>Total revenue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29.2</w:t>
            </w:r>
          </w:p>
        </w:tc>
        <w:tc>
          <w:tcPr>
            <w:tcW w:type="dxa" w:w="1608"/>
          </w:tcPr>
          <w:p>
            <w:r>
              <w:rPr>
                <w:b/>
              </w:rPr>
              <w:t>91.9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209.7</w:t>
            </w:r>
          </w:p>
        </w:tc>
        <w:tc>
          <w:tcPr>
            <w:tcW w:type="dxa" w:w="1608"/>
          </w:tcPr>
          <w:p>
            <w:r>
              <w:rPr>
                <w:b/>
              </w:rPr>
              <w:t>387.4</w:t>
            </w:r>
          </w:p>
        </w:tc>
        <w:tc>
          <w:tcPr>
            <w:tcW w:type="dxa" w:w="1608"/>
          </w:tcPr>
          <w:p>
            <w:r>
              <w:rPr>
                <w:b/>
              </w:rPr>
              <w:t>618.8</w:t>
            </w:r>
          </w:p>
        </w:tc>
      </w:tr>
      <w:tr>
        <w:tc>
          <w:tcPr>
            <w:tcW w:type="dxa" w:w="1608"/>
          </w:tcPr>
          <w:p>
            <w:r>
              <w:t>Gross profit</w:t>
            </w:r>
          </w:p>
        </w:tc>
        <w:tc>
          <w:tcPr>
            <w:tcW w:type="dxa" w:w="1608"/>
          </w:tcPr>
          <w:p>
            <w:r>
              <w:t>13.8</w:t>
            </w:r>
          </w:p>
        </w:tc>
        <w:tc>
          <w:tcPr>
            <w:tcW w:type="dxa" w:w="1608"/>
          </w:tcPr>
          <w:p>
            <w:r>
              <w:t>61.7</w:t>
            </w:r>
          </w:p>
        </w:tc>
        <w:tc>
          <w:tcPr>
            <w:tcW w:type="dxa" w:w="1608"/>
          </w:tcPr>
          <w:p>
            <w:r>
              <w:t>156.2</w:t>
            </w:r>
          </w:p>
        </w:tc>
        <w:tc>
          <w:tcPr>
            <w:tcW w:type="dxa" w:w="1608"/>
          </w:tcPr>
          <w:p>
            <w:r>
              <w:t>295.5</w:t>
            </w:r>
          </w:p>
        </w:tc>
        <w:tc>
          <w:tcPr>
            <w:tcW w:type="dxa" w:w="1608"/>
          </w:tcPr>
          <w:p>
            <w:r>
              <w:t>481.4</w:t>
            </w:r>
          </w:p>
        </w:tc>
      </w:tr>
      <w:tr>
        <w:tc>
          <w:tcPr>
            <w:tcW w:type="dxa" w:w="1608"/>
          </w:tcPr>
          <w:p>
            <w:r>
              <w:t>Gross margin %</w:t>
            </w:r>
          </w:p>
        </w:tc>
        <w:tc>
          <w:tcPr>
            <w:tcW w:type="dxa" w:w="1608"/>
          </w:tcPr>
          <w:p>
            <w:r>
              <w:t>47.2%</w:t>
            </w:r>
          </w:p>
        </w:tc>
        <w:tc>
          <w:tcPr>
            <w:tcW w:type="dxa" w:w="1608"/>
          </w:tcPr>
          <w:p>
            <w:r>
              <w:t>67.1%</w:t>
            </w:r>
          </w:p>
        </w:tc>
        <w:tc>
          <w:tcPr>
            <w:tcW w:type="dxa" w:w="1608"/>
          </w:tcPr>
          <w:p>
            <w:r>
              <w:t>74.5%</w:t>
            </w:r>
          </w:p>
        </w:tc>
        <w:tc>
          <w:tcPr>
            <w:tcW w:type="dxa" w:w="1608"/>
          </w:tcPr>
          <w:p>
            <w:r>
              <w:t>76.3%</w:t>
            </w:r>
          </w:p>
        </w:tc>
        <w:tc>
          <w:tcPr>
            <w:tcW w:type="dxa" w:w="1608"/>
          </w:tcPr>
          <w:p>
            <w:r>
              <w:t>77.8%</w:t>
            </w:r>
          </w:p>
        </w:tc>
      </w:tr>
      <w:tr>
        <w:tc>
          <w:tcPr>
            <w:tcW w:type="dxa" w:w="1608"/>
          </w:tcPr>
          <w:p>
            <w:r>
              <w:t>Total operating expense</w:t>
            </w:r>
          </w:p>
        </w:tc>
        <w:tc>
          <w:tcPr>
            <w:tcW w:type="dxa" w:w="1608"/>
          </w:tcPr>
          <w:p>
            <w:r>
              <w:t>-22.8</w:t>
            </w:r>
          </w:p>
        </w:tc>
        <w:tc>
          <w:tcPr>
            <w:tcW w:type="dxa" w:w="1608"/>
          </w:tcPr>
          <w:p>
            <w:r>
              <w:t>-50.3</w:t>
            </w:r>
          </w:p>
        </w:tc>
        <w:tc>
          <w:tcPr>
            <w:tcW w:type="dxa" w:w="1608"/>
          </w:tcPr>
          <w:p>
            <w:r>
              <w:t>-101.7</w:t>
            </w:r>
          </w:p>
        </w:tc>
        <w:tc>
          <w:tcPr>
            <w:tcW w:type="dxa" w:w="1608"/>
          </w:tcPr>
          <w:p>
            <w:r>
              <w:t>-161.8</w:t>
            </w:r>
          </w:p>
        </w:tc>
        <w:tc>
          <w:tcPr>
            <w:tcW w:type="dxa" w:w="1608"/>
          </w:tcPr>
          <w:p>
            <w:r>
              <w:t>-232.7</w:t>
            </w:r>
          </w:p>
        </w:tc>
      </w:tr>
      <w:tr>
        <w:tc>
          <w:tcPr>
            <w:tcW w:type="dxa" w:w="1608"/>
          </w:tcPr>
          <w:p>
            <w:r>
              <w:rPr>
                <w:b/>
              </w:rPr>
              <w:t>EBITDA</w:t>
            </w:r>
          </w:p>
        </w:tc>
        <w:tc>
          <w:tcPr>
            <w:tcW w:type="dxa" w:w="1608"/>
          </w:tcPr>
          <w:p>
            <w:r>
              <w:rPr>
                <w:b/>
              </w:rPr>
              <w:t>-9.0</w:t>
            </w:r>
          </w:p>
        </w:tc>
        <w:tc>
          <w:tcPr>
            <w:tcW w:type="dxa" w:w="1608"/>
          </w:tcPr>
          <w:p>
            <w:r>
              <w:rPr>
                <w:b/>
              </w:rPr>
              <w:t>11.4</w:t>
            </w:r>
          </w:p>
        </w:tc>
        <w:tc>
          <w:tcPr>
            <w:tcW w:type="dxa" w:w="1608"/>
          </w:tcPr>
          <w:p>
            <w:r>
              <w:rPr>
                <w:b/>
              </w:rPr>
              <w:t>54.5</w:t>
            </w:r>
          </w:p>
        </w:tc>
        <w:tc>
          <w:tcPr>
            <w:tcW w:type="dxa" w:w="1608"/>
          </w:tcPr>
          <w:p>
            <w:r>
              <w:rPr>
                <w:b/>
              </w:rPr>
              <w:t>133.7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248.8</w:t>
            </w:r>
          </w:p>
        </w:tc>
      </w:tr>
      <w:tr>
        <w:tc>
          <w:tcPr>
            <w:tcW w:type="dxa" w:w="1608"/>
          </w:tcPr>
          <w:p>
            <w:r>
              <w:t>EBITDA margin %</w:t>
            </w:r>
          </w:p>
        </w:tc>
        <w:tc>
          <w:tcPr>
            <w:tcW w:type="dxa" w:w="1608"/>
          </w:tcPr>
          <w:p>
            <w:r>
              <w:t>-30.8%</w:t>
            </w:r>
          </w:p>
        </w:tc>
        <w:tc>
          <w:tcPr>
            <w:tcW w:type="dxa" w:w="1608"/>
          </w:tcPr>
          <w:p>
            <w:r>
              <w:t>12.4%</w:t>
            </w:r>
          </w:p>
        </w:tc>
        <w:tc>
          <w:tcPr>
            <w:tcW w:type="dxa" w:w="1608"/>
          </w:tcPr>
          <w:p>
            <w:r>
              <w:t>26.0%</w:t>
            </w:r>
          </w:p>
        </w:tc>
        <w:tc>
          <w:tcPr>
            <w:tcW w:type="dxa" w:w="1608"/>
          </w:tcPr>
          <w:p>
            <w:r>
              <w:t>34.5%</w:t>
            </w:r>
          </w:p>
        </w:tc>
        <w:tc>
          <w:tcPr>
            <w:tcW w:type="dxa" w:w="1608"/>
          </w:tcPr>
          <w:p>
            <w:r>
              <w:t>40.2%</w:t>
            </w:r>
          </w:p>
        </w:tc>
      </w:tr>
      <w:tr>
        <w:tc>
          <w:tcPr>
            <w:tcW w:type="dxa" w:w="1608"/>
          </w:tcPr>
          <w:p>
            <w:r>
              <w:t>Cumulative customers</w:t>
            </w:r>
          </w:p>
        </w:tc>
        <w:tc>
          <w:tcPr>
            <w:tcW w:type="dxa" w:w="1608"/>
          </w:tcPr>
          <w:p>
            <w:r>
              <w:t>47</w:t>
            </w:r>
          </w:p>
        </w:tc>
        <w:tc>
          <w:tcPr>
            <w:tcW w:type="dxa" w:w="1608"/>
          </w:tcPr>
          <w:p>
            <w:r>
              <w:t>114</w:t>
            </w:r>
          </w:p>
        </w:tc>
        <w:tc>
          <w:tcPr>
            <w:tcW w:type="dxa" w:w="1608"/>
          </w:tcPr>
          <w:p>
            <w:r>
              <w:t>229</w:t>
            </w:r>
          </w:p>
        </w:tc>
        <w:tc>
          <w:tcPr>
            <w:tcW w:type="dxa" w:w="1608"/>
          </w:tcPr>
          <w:p>
            <w:r>
              <w:t>369</w:t>
            </w:r>
          </w:p>
        </w:tc>
        <w:tc>
          <w:tcPr>
            <w:tcW w:type="dxa" w:w="1608"/>
          </w:tcPr>
          <w:p>
            <w:r>
              <w:t>562</w:t>
            </w:r>
          </w:p>
        </w:tc>
      </w:tr>
    </w:tbl>
    <w:p/>
    <w:p>
      <w:r>
        <w:rPr>
          <w:b/>
          <w:color w:val="C8102E"/>
          <w:sz w:val="26"/>
        </w:rPr>
        <w:t>Methodology</w:t>
      </w:r>
    </w:p>
    <w:p>
      <w:r>
        <w:rPr>
          <w:b w:val="0"/>
          <w:i w:val="0"/>
          <w:color w:val="222222"/>
          <w:sz w:val="22"/>
        </w:rPr>
        <w:t>The model is a bottom-up customer-driven projection plus a per-patient utilization layer for diagnostic and consumer revenue streams. For platform subscription revenue, we count target customers in six segments (Big Pharma, Mid-Cap Biotech, Small Biotech, Contract Research Organizations, Academic Medical Centers, and Government/NIH), apply an average selling price (ASP) per segment, and grow customer counts based on disclosed sales-cycle benchmarks from comparable platform companies. For laboratory-developed diagnostic test (LDT) revenue, we size each test line bottom-up against disease epidemiology (US incidence/prevalence × biomarker testing penetration × per-test ASP). For consumer revenue, we size each channel against subscriber count × monthly ARPU × retention curve.</w:t>
      </w:r>
    </w:p>
    <w:p>
      <w:r>
        <w:rPr>
          <w:b/>
          <w:color w:val="1A1A1A"/>
          <w:sz w:val="26"/>
        </w:rPr>
        <w:t>Why bottom-up, not top-down</w:t>
      </w:r>
    </w:p>
    <w:p>
      <w:r>
        <w:rPr>
          <w:b w:val="0"/>
          <w:i w:val="0"/>
          <w:color w:val="222222"/>
          <w:sz w:val="22"/>
        </w:rPr>
        <w:t>Top-down market-share targets are unverifiable and rarely survive contact with operating reality. Bottom-up customer-count and per-patient utilization models are testable against named deal pipelines, disease registries, and standard SaaS cohort metrics. We anchor each segment's ASP to comparable contract values disclosed in public 10-K filings.</w:t>
      </w:r>
    </w:p>
    <w:p>
      <w:r>
        <w:rPr>
          <w:b/>
          <w:color w:val="1A1A1A"/>
          <w:sz w:val="26"/>
        </w:rPr>
        <w:t>The five revenue streams</w:t>
      </w:r>
    </w:p>
    <w:p>
      <w:r>
        <w:rPr>
          <w:b w:val="0"/>
          <w:i w:val="0"/>
          <w:color w:val="222222"/>
          <w:sz w:val="22"/>
        </w:rPr>
        <w:t>(1) SaaS subscription licensing — six customer segments. Big Pharma platform license ($1.5M/yr avg, top-25 sponsors, 9–12 month sales cycle, Y5 base 30 customers). Mid-Cap Biotech modular license ($0.55M/yr, $50M+ R&amp;D budgets, 6 month sales cycle, Y5 base 130). Small Biotech SaaS subscription ($0.16M/yr, self-serve, 3 month sales cycle, Y5 base 230). CRO platform license ($0.85M/yr, white-label rights, Y5 base 32). AMC research-tier license ($0.12M/yr, top-150 US AMCs, Y5 base 80). Government/NIH contract ($0.20M/yr, NIH grant-attached pricing, Y5 base 60). Total Y5 base SaaS: 562 customers, $250M revenue.</w:t>
      </w:r>
    </w:p>
    <w:p>
      <w:r>
        <w:rPr>
          <w:b w:val="0"/>
          <w:i w:val="0"/>
          <w:color w:val="222222"/>
          <w:sz w:val="22"/>
        </w:rPr>
        <w:t>(2) Co-development partnerships — $5M upfront + $8M y+2 + $12M y+3 + $18M y+4 commercial-readiness milestones + 3–7% royalty. New partnerships: 1/3/5/7/9 over 5 years (base, cumulative 25). Total Y5 base co-dev: $215M revenue.</w:t>
      </w:r>
    </w:p>
    <w:p>
      <w:r>
        <w:rPr>
          <w:b w:val="0"/>
          <w:i w:val="0"/>
          <w:color w:val="222222"/>
          <w:sz w:val="22"/>
        </w:rPr>
        <w:t>(3) Companion Diagnostic royalties — single-digit royalties on BiRAGAS-discovered CDx programs approved alongside sponsor drugs. Per-launch ramp: $1.2M Y0 → $3.6M Y+1 → $6M Y+2. Cumulative launches: 0/0/1/2/3 over 5 years. Total Y5 base CDx royalty: $16.8M revenue.</w:t>
      </w:r>
    </w:p>
    <w:p>
      <w:r>
        <w:rPr>
          <w:b w:val="0"/>
          <w:i w:val="0"/>
          <w:color w:val="222222"/>
          <w:sz w:val="22"/>
        </w:rPr>
        <w:t>(4) LDT / Diagnostic Test revenue — per-patient utilization across 10 disease-specific Laboratory-Developed Tests under CLIA. ASPs range $650 (DKD) to $1,800 (AML); unit volumes range 45,000 (AML) to 1.2M (DKD screening). Total Y5 base LDT: $99.5M revenue. Gross margin 67%.</w:t>
      </w:r>
    </w:p>
    <w:p>
      <w:r>
        <w:rPr>
          <w:b w:val="0"/>
          <w:i w:val="0"/>
          <w:color w:val="222222"/>
          <w:sz w:val="22"/>
        </w:rPr>
        <w:t>(5) Consumer Wellness subscription — DTC + B2B2C + concierge. DTC BiRAGAS Wellness Subscription ($199/mo × 9,200 Y5 subscribers = $22M Y5). Longevity Clinic White-Label ($35–55K/yr × 250 clinics = $11M Y5). HNW Concierge ($50K/yr × 80 clients = $4M Y5). Wellness Brand API ($5M Y5). Total Y5 base Consumer: $37.5M revenue. Gross margin 72%. Requires ~$15M Y5 of consumer-channel sales and marketing.</w:t>
      </w:r>
    </w:p>
    <w:p>
      <w:r>
        <w:rPr>
          <w:b/>
          <w:color w:val="1A1A1A"/>
          <w:sz w:val="26"/>
        </w:rPr>
        <w:t>Conservatism guardrails</w:t>
      </w:r>
    </w:p>
    <w:p>
      <w:r>
        <w:rPr>
          <w:b w:val="0"/>
          <w:i w:val="0"/>
          <w:color w:val="222222"/>
          <w:sz w:val="22"/>
        </w:rPr>
        <w:t>We exclude five categories of revenue that other models routinely include but we consider speculative: (a) any premium pricing from the milestone-gated Refund Right rider; (b) IP licensing transactions outside the five-stream framework; (c) M&amp;A revenue; (d) joint-venture income; (e) international expansion beyond the US, EU-5, Japan, and the United Kingdom. LDT revenue uses CLIA-only assumptions; no payor reimbursement is assumed except where co-developed as a Companion Diagnostic. The broad AI Drug Discovery market figure ($50B by 2030) is presented separately rather than blended with the narrow figure to give a transparent view of both definitions.</w:t>
      </w:r>
    </w:p>
    <w:p/>
    <w:p>
      <w:r>
        <w:rPr>
          <w:b/>
          <w:color w:val="C8102E"/>
          <w:sz w:val="26"/>
        </w:rPr>
        <w:t>Market Analysis</w:t>
      </w:r>
    </w:p>
    <w:p>
      <w:r>
        <w:rPr>
          <w:b w:val="0"/>
          <w:i w:val="0"/>
          <w:color w:val="222222"/>
          <w:sz w:val="22"/>
        </w:rPr>
        <w:t>BiRAGAS plugs into four categories of addressable market: foundational platform markets (where BiRAGAS is the analytical layer competing for analysis budget, including both the narrow AI drug discovery platform-tools market and the broader pharma R&amp;D AI spend market), the RNA-sequencing and RNA-therapeutics markets (where BiRAGAS-derived target identification accelerates an existing $80B program portfolio), disease-specific therapeutic markets across oncology, AML, nephrology, IBD, autoimmune, neurodegeneration, and metabolic disorders (where BiRAGAS-discovered targets and biomarkers earn co-development and royalty revenue), and three cross-cutting verticals (Wound Care + AMR, Wellness/Longevity consumer biomarker, Agentic AI cross-vertical enterprise).</w:t>
      </w:r>
    </w:p>
    <w:p>
      <w:r>
        <w:rPr>
          <w:b/>
          <w:color w:val="1A1A1A"/>
          <w:sz w:val="26"/>
        </w:rPr>
        <w:t>Foundational markets</w:t>
      </w:r>
    </w:p>
    <w:p>
      <w:r>
        <w:rPr>
          <w:b w:val="0"/>
          <w:i w:val="0"/>
          <w:color w:val="222222"/>
          <w:sz w:val="22"/>
        </w:rPr>
        <w:t>AI Drug Discovery — narrow definition (TAM $2.8B → $14.5B, CAGR 39%). The platform-tools market BiRAGAS competes in directly. Most platforms in this market do correlational target identification or molecular optimization downstream of target choice. BiRAGAS is the upstream causal-inference layer that the rest of the market needs. Source: Grand View Research, Markets and Markets, Precedence Research.</w:t>
      </w:r>
    </w:p>
    <w:p>
      <w:r>
        <w:rPr>
          <w:b w:val="0"/>
          <w:i w:val="0"/>
          <w:color w:val="222222"/>
          <w:sz w:val="22"/>
        </w:rPr>
        <w:t>AI Drug Discovery — broad definition (TAM $5.5B → $50B, CAGR 45%). The broader pharma external R&amp;D AI spend market — covers target identification, lead optimization, clinical trial design, patient stratification, and drug repurposing. This is approximately 3.4× larger than the narrow definition and is the envelope BiRAGAS plays in. Cross-check: 950 active AI-biotech partnerships projected by 2030 (vs. 170 today) × average deal value $95M = approximately $90B of cumulative AI-partnership deal-value flow over five years. Source: McKinsey, Deloitte, Boston Consulting Group.</w:t>
      </w:r>
    </w:p>
    <w:p>
      <w:r>
        <w:rPr>
          <w:b w:val="0"/>
          <w:i w:val="0"/>
          <w:color w:val="222222"/>
          <w:sz w:val="22"/>
        </w:rPr>
        <w:t>RNA Sequencing R&amp;D (TAM $9.2B → $27.4B, CAGR 24.6%). The substrate market — RNA-seq is the experimental modality BiRAGAS analyses are built on top of. Analysis-layer share is approximately 15–20%, which produces a SAM of $4–5B by 2030 for the bioinformatics layer BiRAGAS occupies.</w:t>
      </w:r>
    </w:p>
    <w:p>
      <w:r>
        <w:rPr>
          <w:b w:val="0"/>
          <w:i w:val="0"/>
          <w:color w:val="222222"/>
          <w:sz w:val="22"/>
        </w:rPr>
        <w:t>RNA Therapeutics (TAM $21.4B → $52.0B, CAGR 19.5%). The mRNA, siRNA, and ASO drug-discovery wave is the largest single causal-inference opportunity of the decade. Every RNA-therapeutic program requires validated targets, and the failure rate of correlational target identification is the problem BiRAGAS resolves.</w:t>
      </w:r>
    </w:p>
    <w:p>
      <w:r>
        <w:rPr>
          <w:b w:val="0"/>
          <w:i w:val="0"/>
          <w:color w:val="222222"/>
          <w:sz w:val="22"/>
        </w:rPr>
        <w:t>Target Identification and Validation ($4.8B → $9.2B, CAGR 14%). The narrowest definition of BiRAGAS's directly addressable spend — the slice of pharma R&amp;D budget allocated specifically to target ID, validation, and biomarker discovery. BiRAGAS automates or replaces this spend.</w:t>
      </w:r>
    </w:p>
    <w:p>
      <w:r>
        <w:rPr>
          <w:b w:val="0"/>
          <w:i w:val="0"/>
          <w:color w:val="222222"/>
          <w:sz w:val="22"/>
        </w:rPr>
        <w:t>Companion Diagnostics ($7.6B → $19.3B, CAGR 20.5%). Royalty-bearing motion. BiRAGAS-discovered biomarkers co-develop with sponsor drugs and earn tiered royalties on the launched diagnostic.</w:t>
      </w:r>
    </w:p>
    <w:p>
      <w:r>
        <w:rPr>
          <w:b/>
          <w:color w:val="1A1A1A"/>
          <w:sz w:val="26"/>
        </w:rPr>
        <w:t>Disease verticals — oncology</w:t>
      </w:r>
    </w:p>
    <w:p>
      <w:r>
        <w:rPr>
          <w:b w:val="0"/>
          <w:i w:val="0"/>
          <w:color w:val="222222"/>
          <w:sz w:val="22"/>
        </w:rPr>
        <w:t>Total oncology drug market: $220B in 2025, projected $396B in 2030. BiRAGAS plugs into target identification across all seven modeled sub-segments: NSCLC ($50B by 2030), Breast ($52B), Colorectal ($24B), Prostate ($22B), Melanoma ($14.5B), Pancreatic ($9.2B), Hepatocellular ($7.1B). Each sub-segment has a stratification or response-prediction angle that the BiRAGAS causal-inference engine addresses. Six of the seven oncology sub-segments have at least one named molecular subtype (BRAF, KRAS, HER2, MSI, etc.) where causal subtyping has commercial pull.</w:t>
      </w:r>
    </w:p>
    <w:p>
      <w:r>
        <w:rPr>
          <w:b w:val="0"/>
          <w:i w:val="0"/>
          <w:color w:val="222222"/>
          <w:sz w:val="22"/>
        </w:rPr>
        <w:t>Specific oncology LDT lines: IO Response Predictor for Melanoma ($1,200/test × 90,000 tests/yr by Y5 = $8.5M Y5 revenue). Pancreatic Early Detection ncRNA Panel ($950/test × 50,000 high-risk patients/yr by Y5 = $6.5M Y5).</w:t>
      </w:r>
    </w:p>
    <w:p>
      <w:r>
        <w:rPr>
          <w:b w:val="0"/>
          <w:i w:val="0"/>
          <w:color w:val="222222"/>
          <w:sz w:val="22"/>
        </w:rPr>
        <w:t>AML (Acute Myeloid Leukemia, $4.4B → $7.2B). Specific opportunity: BiRAGAS has identified novel FLT3-resistance biomarkers and the WDR4 driver. Multiple sub-segments (NPM1, IDH1/2, TP53) are addressable. Patient stratification is the dominant unmet need in AML. AML Stratification LDT contributes $8.5M Y5 base ($1,800/test × 45,000 tests/yr).</w:t>
      </w:r>
    </w:p>
    <w:p>
      <w:r>
        <w:rPr>
          <w:b/>
          <w:color w:val="1A1A1A"/>
          <w:sz w:val="26"/>
        </w:rPr>
        <w:t>Disease verticals — other</w:t>
      </w:r>
    </w:p>
    <w:p>
      <w:r>
        <w:rPr>
          <w:b w:val="0"/>
          <w:i w:val="0"/>
          <w:color w:val="222222"/>
          <w:sz w:val="22"/>
        </w:rPr>
        <w:t>Diabetic Nephropathy ($5.8B → $18.6B, CAGR 26.2%). Highest growth rate among landing verticals. BiRAGAS deploys a subscription clinic model plus companion diagnostic, with in-house cohort data already validated. The market is expanding behind the SGLT2-inhibitor and finerenone wave (Bayer, Lilly, Novo, AstraZeneca all in active launches). DKD Progression Risk LDT contributes $11M Y5 base ($650/test × 1.2M T2D pts screened/yr).</w:t>
      </w:r>
    </w:p>
    <w:p>
      <w:r>
        <w:rPr>
          <w:b w:val="0"/>
          <w:i w:val="0"/>
          <w:color w:val="222222"/>
          <w:sz w:val="22"/>
        </w:rPr>
        <w:t>IBD ($20.4B → $32B). Primary loss-of-response is the largest unmet need in the field. JAK / IL-23 / TNF response stratification is exactly what BiRAGAS's causal endotype modeling produces. IBD JAK/IL-23 Stratification LDT contributes $7M Y5 base.</w:t>
      </w:r>
    </w:p>
    <w:p>
      <w:r>
        <w:rPr>
          <w:b w:val="0"/>
          <w:i w:val="0"/>
          <w:color w:val="222222"/>
          <w:sz w:val="22"/>
        </w:rPr>
        <w:t>Connective Tissue Diseases. Four sub-markets modeled: Rheumatoid Arthritis ($28B → $36B), Lupus/SLE ($3B → $5.4B), Multiple Sclerosis ($25.4B → $32.4B), Psoriasis/PsA ($32.2B → $47B), plus orphan CTDs ($2.8B → $5.6B). The lupus market in particular is highly heterogeneous and under-stratified — a natural BiRAGAS fit. Biologic Responder LDT (cross-autoimmune) is the largest single LDT line: $18M Y5 base ($1,400/test × 250,000 tests/yr). Post-COVID autoimmune LDT adds $6M Y5.</w:t>
      </w:r>
    </w:p>
    <w:p>
      <w:r>
        <w:rPr>
          <w:b w:val="0"/>
          <w:i w:val="0"/>
          <w:color w:val="222222"/>
          <w:sz w:val="22"/>
        </w:rPr>
        <w:t>Neurodegeneration. Alzheimer's ($7.5B → $24.5B, CAGR 26.8%) post-Leqembi inflection. Parkinson's ($5.6B → $11.4B) and ALS ($0.9B → $1.9B) round out the addressable neurodegeneration segment. AD/Neuro Blood-based Biomarker LDT enters Y3 ($1,100/test × 250,000 tests/yr by Y5 = $9M Y5) tied to the p-tau and Aβ blood-test wave.</w:t>
      </w:r>
    </w:p>
    <w:p>
      <w:r>
        <w:rPr>
          <w:b w:val="0"/>
          <w:i w:val="0"/>
          <w:color w:val="222222"/>
          <w:sz w:val="22"/>
        </w:rPr>
        <w:t>Metabolic and Other. Obesity ($22B → $70B) — the largest single-disease growth opportunity of the decade, driven by GLP-1 agonists. BiRAGAS-addressable for patient-responder stratification and secondary metabolic-cluster target discovery. Plus Depression/TRD ($19.5B → $28.6B) and CKD-non-diabetic ($3.8B → $9.2B).</w:t>
      </w:r>
    </w:p>
    <w:p>
      <w:r>
        <w:rPr>
          <w:b/>
          <w:color w:val="1A1A1A"/>
          <w:sz w:val="26"/>
        </w:rPr>
        <w:t>Cross-cutting verticals</w:t>
      </w:r>
    </w:p>
    <w:p>
      <w:r>
        <w:rPr>
          <w:b w:val="0"/>
          <w:i w:val="0"/>
          <w:color w:val="222222"/>
          <w:sz w:val="22"/>
        </w:rPr>
        <w:t>Wound Care and Antimicrobial Resistance (TAM $24.5B → $41.8B, CAGR 11.3%). 6.5M US chronic non-healing wound patients × $30K average cost/wound. AMR economic toll $55B → $90B by 2030 (CDC AMR Threats Report). 55% of diabetic foot ulcers are antibiotic-resistant. BiRAGAS deploys four motions in this vertical: Non-Healing Wound LDT ($14.5M Y5 base, $850/test × 800,000 tests/yr), AMR Stewardship Decision Support (subscription, 250 hospitals, $6M Y5), Pharma AMR Partnership for target identification on novel antimicrobials ($6.5M Y5), and Repurposing Royalties on AMR adjuvants ($5M Y5).</w:t>
      </w:r>
    </w:p>
    <w:p>
      <w:r>
        <w:rPr>
          <w:b w:val="0"/>
          <w:i w:val="0"/>
          <w:color w:val="222222"/>
          <w:sz w:val="22"/>
        </w:rPr>
        <w:t>Wellness, Longevity, and Consumer Biomarker. Global wellness economy $5.6T → $8.5T (CAGR 8.9%). Personalized wellness sub-segment $220B → $450B. Longevity and healthspan $27B → $63B (Bank of America Research). Consumer biomarker testing $5.4B → $14B. Functional medicine subscription $8B → $21B. BiRAGAS's addressable share is intentionally constrained (0.5% of SAM); the Consumer Wellness stream contributes $37.5M Y5 base via DTC subscription ($22M, 9,200 subscribers at $199/month), Longevity Clinic White-Label ($11M, 250 clinics), HNW Concierge ($4M, 80 clients at $50K/year), and Wellness Brand API ($5M).</w:t>
      </w:r>
    </w:p>
    <w:p>
      <w:r>
        <w:rPr>
          <w:b w:val="0"/>
          <w:i w:val="0"/>
          <w:color w:val="222222"/>
          <w:sz w:val="22"/>
        </w:rPr>
        <w:t>Agentic AI and Enterprise Cross-Vertical (TAM $7.5B → $85B, CAGR 50.2% per Gartner). Hallucination-mitigation tooling $0.3B → $6B. Causal-AI sub-segment $0.6B → $8.5B. Enterprise vertical AI platforms $18B → $110B. BiRAGAS's 7-category hallucination shield and 23 causality modules are licensable outside biomedicine — every vertical agentic-AI platform faces the same hallucination problem BiRAGAS resolved for biology. Y5 base contribution: Pharma Enterprise Platform License ($14M, 5 top-50 deployments at $3.5–8M ACV), Hallucination Shield licensing ($5M, cross-vertical), Causality Module licensing ($4M), Agentic Architecture Consulting ($2.5M), API/SaaS ($1.5M).</w:t>
      </w:r>
    </w:p>
    <w:p/>
    <w:p>
      <w:r>
        <w:rPr>
          <w:b/>
          <w:color w:val="C8102E"/>
          <w:sz w:val="26"/>
        </w:rPr>
        <w:t>Market Sizing — Complete Table</w:t>
      </w:r>
    </w:p>
    <w:p>
      <w:r>
        <w:rPr>
          <w:b w:val="0"/>
          <w:i/>
          <w:color w:val="666666"/>
          <w:sz w:val="20"/>
        </w:rPr>
        <w:t>Thirty addressable markets with 2025 baseline, 2030 projection, CAGR, and source citation. AI Drug Discovery appears twice (narrow and broad definitions).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608"/>
          </w:tcPr>
          <w:p>
            <w:r>
              <w:rPr>
                <w:b/>
              </w:rPr>
              <w:t>Market</w:t>
            </w:r>
          </w:p>
        </w:tc>
        <w:tc>
          <w:tcPr>
            <w:tcW w:type="dxa" w:w="1608"/>
          </w:tcPr>
          <w:p>
            <w:r>
              <w:rPr>
                <w:b/>
              </w:rPr>
              <w:t>TAM 2025 ($B)</w:t>
            </w:r>
          </w:p>
        </w:tc>
        <w:tc>
          <w:tcPr>
            <w:tcW w:type="dxa" w:w="1608"/>
          </w:tcPr>
          <w:p>
            <w:r>
              <w:rPr>
                <w:b/>
              </w:rPr>
              <w:t>TAM 2030 ($B)</w:t>
            </w:r>
          </w:p>
        </w:tc>
        <w:tc>
          <w:tcPr>
            <w:tcW w:type="dxa" w:w="1608"/>
          </w:tcPr>
          <w:p>
            <w:r>
              <w:rPr>
                <w:b/>
              </w:rPr>
              <w:t>CAGR %</w:t>
            </w:r>
          </w:p>
        </w:tc>
        <w:tc>
          <w:tcPr>
            <w:tcW w:type="dxa" w:w="1608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608"/>
          </w:tcPr>
          <w:p>
            <w:r>
              <w:t>Foundational</w:t>
            </w:r>
          </w:p>
        </w:tc>
        <w:tc>
          <w:tcPr>
            <w:tcW w:type="dxa" w:w="1608"/>
          </w:tcPr>
          <w:p>
            <w:r>
              <w:t>AI Drug Discovery — Narrow (platform tools)</w:t>
            </w:r>
          </w:p>
        </w:tc>
        <w:tc>
          <w:tcPr>
            <w:tcW w:type="dxa" w:w="1608"/>
          </w:tcPr>
          <w:p>
            <w:r>
              <w:t>2.8</w:t>
            </w:r>
          </w:p>
        </w:tc>
        <w:tc>
          <w:tcPr>
            <w:tcW w:type="dxa" w:w="1608"/>
          </w:tcPr>
          <w:p>
            <w:r>
              <w:t>14.5</w:t>
            </w:r>
          </w:p>
        </w:tc>
        <w:tc>
          <w:tcPr>
            <w:tcW w:type="dxa" w:w="1608"/>
          </w:tcPr>
          <w:p>
            <w:r>
              <w:t>39.0</w:t>
            </w:r>
          </w:p>
        </w:tc>
        <w:tc>
          <w:tcPr>
            <w:tcW w:type="dxa" w:w="1608"/>
          </w:tcPr>
          <w:p>
            <w:r>
              <w:t>Grand View · M&amp;M · Precedence</w:t>
            </w:r>
          </w:p>
        </w:tc>
      </w:tr>
      <w:tr>
        <w:tc>
          <w:tcPr>
            <w:tcW w:type="dxa" w:w="1608"/>
          </w:tcPr>
          <w:p>
            <w:r>
              <w:t>Foundational</w:t>
            </w:r>
          </w:p>
        </w:tc>
        <w:tc>
          <w:tcPr>
            <w:tcW w:type="dxa" w:w="1608"/>
          </w:tcPr>
          <w:p>
            <w:r>
              <w:t>AI Drug Discovery — Broad (Pharma R&amp;D AI spend)</w:t>
            </w:r>
          </w:p>
        </w:tc>
        <w:tc>
          <w:tcPr>
            <w:tcW w:type="dxa" w:w="1608"/>
          </w:tcPr>
          <w:p>
            <w:r>
              <w:t>12.0</w:t>
            </w:r>
          </w:p>
        </w:tc>
        <w:tc>
          <w:tcPr>
            <w:tcW w:type="dxa" w:w="1608"/>
          </w:tcPr>
          <w:p>
            <w:r>
              <w:t>50.0</w:t>
            </w:r>
          </w:p>
        </w:tc>
        <w:tc>
          <w:tcPr>
            <w:tcW w:type="dxa" w:w="1608"/>
          </w:tcPr>
          <w:p>
            <w:r>
              <w:t>45.0</w:t>
            </w:r>
          </w:p>
        </w:tc>
        <w:tc>
          <w:tcPr>
            <w:tcW w:type="dxa" w:w="1608"/>
          </w:tcPr>
          <w:p>
            <w:r>
              <w:t>McKinsey · Deloitte · BCG</w:t>
            </w:r>
          </w:p>
        </w:tc>
      </w:tr>
      <w:tr>
        <w:tc>
          <w:tcPr>
            <w:tcW w:type="dxa" w:w="1608"/>
          </w:tcPr>
          <w:p>
            <w:r>
              <w:t>Foundational</w:t>
            </w:r>
          </w:p>
        </w:tc>
        <w:tc>
          <w:tcPr>
            <w:tcW w:type="dxa" w:w="1608"/>
          </w:tcPr>
          <w:p>
            <w:r>
              <w:t>RNA-Seq R&amp;D (instruments + reagents + analysis)</w:t>
            </w:r>
          </w:p>
        </w:tc>
        <w:tc>
          <w:tcPr>
            <w:tcW w:type="dxa" w:w="1608"/>
          </w:tcPr>
          <w:p>
            <w:r>
              <w:t>9.2</w:t>
            </w:r>
          </w:p>
        </w:tc>
        <w:tc>
          <w:tcPr>
            <w:tcW w:type="dxa" w:w="1608"/>
          </w:tcPr>
          <w:p>
            <w:r>
              <w:t>27.4</w:t>
            </w:r>
          </w:p>
        </w:tc>
        <w:tc>
          <w:tcPr>
            <w:tcW w:type="dxa" w:w="1608"/>
          </w:tcPr>
          <w:p>
            <w:r>
              <w:t>24.6</w:t>
            </w:r>
          </w:p>
        </w:tc>
        <w:tc>
          <w:tcPr>
            <w:tcW w:type="dxa" w:w="1608"/>
          </w:tcPr>
          <w:p>
            <w:r>
              <w:t>M&amp;M · Allied Market Research</w:t>
            </w:r>
          </w:p>
        </w:tc>
      </w:tr>
      <w:tr>
        <w:tc>
          <w:tcPr>
            <w:tcW w:type="dxa" w:w="1608"/>
          </w:tcPr>
          <w:p>
            <w:r>
              <w:t>Foundational</w:t>
            </w:r>
          </w:p>
        </w:tc>
        <w:tc>
          <w:tcPr>
            <w:tcW w:type="dxa" w:w="1608"/>
          </w:tcPr>
          <w:p>
            <w:r>
              <w:t>RNA Therapeutics (mRNA + siRNA + ASO + saRNA)</w:t>
            </w:r>
          </w:p>
        </w:tc>
        <w:tc>
          <w:tcPr>
            <w:tcW w:type="dxa" w:w="1608"/>
          </w:tcPr>
          <w:p>
            <w:r>
              <w:t>21.4</w:t>
            </w:r>
          </w:p>
        </w:tc>
        <w:tc>
          <w:tcPr>
            <w:tcW w:type="dxa" w:w="1608"/>
          </w:tcPr>
          <w:p>
            <w:r>
              <w:t>52.0</w:t>
            </w:r>
          </w:p>
        </w:tc>
        <w:tc>
          <w:tcPr>
            <w:tcW w:type="dxa" w:w="1608"/>
          </w:tcPr>
          <w:p>
            <w:r>
              <w:t>19.5</w:t>
            </w:r>
          </w:p>
        </w:tc>
        <w:tc>
          <w:tcPr>
            <w:tcW w:type="dxa" w:w="1608"/>
          </w:tcPr>
          <w:p>
            <w:r>
              <w:t>Vantage · Statista · Nat Rev Drug Discov</w:t>
            </w:r>
          </w:p>
        </w:tc>
      </w:tr>
      <w:tr>
        <w:tc>
          <w:tcPr>
            <w:tcW w:type="dxa" w:w="1608"/>
          </w:tcPr>
          <w:p>
            <w:r>
              <w:t>Foundational</w:t>
            </w:r>
          </w:p>
        </w:tc>
        <w:tc>
          <w:tcPr>
            <w:tcW w:type="dxa" w:w="1608"/>
          </w:tcPr>
          <w:p>
            <w:r>
              <w:t>Target Identification &amp; Validation</w:t>
            </w:r>
          </w:p>
        </w:tc>
        <w:tc>
          <w:tcPr>
            <w:tcW w:type="dxa" w:w="1608"/>
          </w:tcPr>
          <w:p>
            <w:r>
              <w:t>4.8</w:t>
            </w:r>
          </w:p>
        </w:tc>
        <w:tc>
          <w:tcPr>
            <w:tcW w:type="dxa" w:w="1608"/>
          </w:tcPr>
          <w:p>
            <w:r>
              <w:t>9.2</w:t>
            </w:r>
          </w:p>
        </w:tc>
        <w:tc>
          <w:tcPr>
            <w:tcW w:type="dxa" w:w="1608"/>
          </w:tcPr>
          <w:p>
            <w:r>
              <w:t>14.0</w:t>
            </w:r>
          </w:p>
        </w:tc>
        <w:tc>
          <w:tcPr>
            <w:tcW w:type="dxa" w:w="1608"/>
          </w:tcPr>
          <w:p>
            <w:r>
              <w:t>EvaluatePharma · Deloitte</w:t>
            </w:r>
          </w:p>
        </w:tc>
      </w:tr>
      <w:tr>
        <w:tc>
          <w:tcPr>
            <w:tcW w:type="dxa" w:w="1608"/>
          </w:tcPr>
          <w:p>
            <w:r>
              <w:t>Foundational</w:t>
            </w:r>
          </w:p>
        </w:tc>
        <w:tc>
          <w:tcPr>
            <w:tcW w:type="dxa" w:w="1608"/>
          </w:tcPr>
          <w:p>
            <w:r>
              <w:t>Companion Diagnostics</w:t>
            </w:r>
          </w:p>
        </w:tc>
        <w:tc>
          <w:tcPr>
            <w:tcW w:type="dxa" w:w="1608"/>
          </w:tcPr>
          <w:p>
            <w:r>
              <w:t>7.6</w:t>
            </w:r>
          </w:p>
        </w:tc>
        <w:tc>
          <w:tcPr>
            <w:tcW w:type="dxa" w:w="1608"/>
          </w:tcPr>
          <w:p>
            <w:r>
              <w:t>19.3</w:t>
            </w:r>
          </w:p>
        </w:tc>
        <w:tc>
          <w:tcPr>
            <w:tcW w:type="dxa" w:w="1608"/>
          </w:tcPr>
          <w:p>
            <w:r>
              <w:t>20.5</w:t>
            </w:r>
          </w:p>
        </w:tc>
        <w:tc>
          <w:tcPr>
            <w:tcW w:type="dxa" w:w="1608"/>
          </w:tcPr>
          <w:p>
            <w:r>
              <w:t>Fortune · M&amp;M</w:t>
            </w:r>
          </w:p>
        </w:tc>
      </w:tr>
      <w:tr>
        <w:tc>
          <w:tcPr>
            <w:tcW w:type="dxa" w:w="1608"/>
          </w:tcPr>
          <w:p>
            <w:r>
              <w:t>Oncology</w:t>
            </w:r>
          </w:p>
        </w:tc>
        <w:tc>
          <w:tcPr>
            <w:tcW w:type="dxa" w:w="1608"/>
          </w:tcPr>
          <w:p>
            <w:r>
              <w:t>Oncology (all)</w:t>
            </w:r>
          </w:p>
        </w:tc>
        <w:tc>
          <w:tcPr>
            <w:tcW w:type="dxa" w:w="1608"/>
          </w:tcPr>
          <w:p>
            <w:r>
              <w:t>220.0</w:t>
            </w:r>
          </w:p>
        </w:tc>
        <w:tc>
          <w:tcPr>
            <w:tcW w:type="dxa" w:w="1608"/>
          </w:tcPr>
          <w:p>
            <w:r>
              <w:t>396.0</w:t>
            </w:r>
          </w:p>
        </w:tc>
        <w:tc>
          <w:tcPr>
            <w:tcW w:type="dxa" w:w="1608"/>
          </w:tcPr>
          <w:p>
            <w:r>
              <w:t>12.5</w:t>
            </w:r>
          </w:p>
        </w:tc>
        <w:tc>
          <w:tcPr>
            <w:tcW w:type="dxa" w:w="1608"/>
          </w:tcPr>
          <w:p>
            <w:r>
              <w:t>IQVIA · GlobalData</w:t>
            </w:r>
          </w:p>
        </w:tc>
      </w:tr>
      <w:tr>
        <w:tc>
          <w:tcPr>
            <w:tcW w:type="dxa" w:w="1608"/>
          </w:tcPr>
          <w:p>
            <w:r>
              <w:t>Oncology</w:t>
            </w:r>
          </w:p>
        </w:tc>
        <w:tc>
          <w:tcPr>
            <w:tcW w:type="dxa" w:w="1608"/>
          </w:tcPr>
          <w:p>
            <w:r>
              <w:t xml:space="preserve">  · NSCLC</w:t>
            </w:r>
          </w:p>
        </w:tc>
        <w:tc>
          <w:tcPr>
            <w:tcW w:type="dxa" w:w="1608"/>
          </w:tcPr>
          <w:p>
            <w:r>
              <w:t>28.5</w:t>
            </w:r>
          </w:p>
        </w:tc>
        <w:tc>
          <w:tcPr>
            <w:tcW w:type="dxa" w:w="1608"/>
          </w:tcPr>
          <w:p>
            <w:r>
              <w:t>50.0</w:t>
            </w:r>
          </w:p>
        </w:tc>
        <w:tc>
          <w:tcPr>
            <w:tcW w:type="dxa" w:w="1608"/>
          </w:tcPr>
          <w:p>
            <w:r>
              <w:t>11.9</w:t>
            </w:r>
          </w:p>
        </w:tc>
        <w:tc>
          <w:tcPr>
            <w:tcW w:type="dxa" w:w="1608"/>
          </w:tcPr>
          <w:p>
            <w:r>
              <w:t>GlobalData NSCLC</w:t>
            </w:r>
          </w:p>
        </w:tc>
      </w:tr>
      <w:tr>
        <w:tc>
          <w:tcPr>
            <w:tcW w:type="dxa" w:w="1608"/>
          </w:tcPr>
          <w:p>
            <w:r>
              <w:t>Oncology</w:t>
            </w:r>
          </w:p>
        </w:tc>
        <w:tc>
          <w:tcPr>
            <w:tcW w:type="dxa" w:w="1608"/>
          </w:tcPr>
          <w:p>
            <w:r>
              <w:t xml:space="preserve">  · Breast cancer</w:t>
            </w:r>
          </w:p>
        </w:tc>
        <w:tc>
          <w:tcPr>
            <w:tcW w:type="dxa" w:w="1608"/>
          </w:tcPr>
          <w:p>
            <w:r>
              <w:t>32.0</w:t>
            </w:r>
          </w:p>
        </w:tc>
        <w:tc>
          <w:tcPr>
            <w:tcW w:type="dxa" w:w="1608"/>
          </w:tcPr>
          <w:p>
            <w:r>
              <w:t>52.0</w:t>
            </w:r>
          </w:p>
        </w:tc>
        <w:tc>
          <w:tcPr>
            <w:tcW w:type="dxa" w:w="1608"/>
          </w:tcPr>
          <w:p>
            <w:r>
              <w:t>10.3</w:t>
            </w:r>
          </w:p>
        </w:tc>
        <w:tc>
          <w:tcPr>
            <w:tcW w:type="dxa" w:w="1608"/>
          </w:tcPr>
          <w:p>
            <w:r>
              <w:t>EvaluatePharma Breast</w:t>
            </w:r>
          </w:p>
        </w:tc>
      </w:tr>
      <w:tr>
        <w:tc>
          <w:tcPr>
            <w:tcW w:type="dxa" w:w="1608"/>
          </w:tcPr>
          <w:p>
            <w:r>
              <w:t>Oncology</w:t>
            </w:r>
          </w:p>
        </w:tc>
        <w:tc>
          <w:tcPr>
            <w:tcW w:type="dxa" w:w="1608"/>
          </w:tcPr>
          <w:p>
            <w:r>
              <w:t xml:space="preserve">  · Colorectal</w:t>
            </w:r>
          </w:p>
        </w:tc>
        <w:tc>
          <w:tcPr>
            <w:tcW w:type="dxa" w:w="1608"/>
          </w:tcPr>
          <w:p>
            <w:r>
              <w:t>14.6</w:t>
            </w:r>
          </w:p>
        </w:tc>
        <w:tc>
          <w:tcPr>
            <w:tcW w:type="dxa" w:w="1608"/>
          </w:tcPr>
          <w:p>
            <w:r>
              <w:t>24.0</w:t>
            </w:r>
          </w:p>
        </w:tc>
        <w:tc>
          <w:tcPr>
            <w:tcW w:type="dxa" w:w="1608"/>
          </w:tcPr>
          <w:p>
            <w:r>
              <w:t>10.5</w:t>
            </w:r>
          </w:p>
        </w:tc>
        <w:tc>
          <w:tcPr>
            <w:tcW w:type="dxa" w:w="1608"/>
          </w:tcPr>
          <w:p>
            <w:r>
              <w:t>EvaluatePharma CRC</w:t>
            </w:r>
          </w:p>
        </w:tc>
      </w:tr>
      <w:tr>
        <w:tc>
          <w:tcPr>
            <w:tcW w:type="dxa" w:w="1608"/>
          </w:tcPr>
          <w:p>
            <w:r>
              <w:t>Oncology</w:t>
            </w:r>
          </w:p>
        </w:tc>
        <w:tc>
          <w:tcPr>
            <w:tcW w:type="dxa" w:w="1608"/>
          </w:tcPr>
          <w:p>
            <w:r>
              <w:t xml:space="preserve">  · Prostate</w:t>
            </w:r>
          </w:p>
        </w:tc>
        <w:tc>
          <w:tcPr>
            <w:tcW w:type="dxa" w:w="1608"/>
          </w:tcPr>
          <w:p>
            <w:r>
              <w:t>13.1</w:t>
            </w:r>
          </w:p>
        </w:tc>
        <w:tc>
          <w:tcPr>
            <w:tcW w:type="dxa" w:w="1608"/>
          </w:tcPr>
          <w:p>
            <w:r>
              <w:t>22.0</w:t>
            </w:r>
          </w:p>
        </w:tc>
        <w:tc>
          <w:tcPr>
            <w:tcW w:type="dxa" w:w="1608"/>
          </w:tcPr>
          <w:p>
            <w:r>
              <w:t>10.8</w:t>
            </w:r>
          </w:p>
        </w:tc>
        <w:tc>
          <w:tcPr>
            <w:tcW w:type="dxa" w:w="1608"/>
          </w:tcPr>
          <w:p>
            <w:r>
              <w:t>Globe Newswire Prostate</w:t>
            </w:r>
          </w:p>
        </w:tc>
      </w:tr>
      <w:tr>
        <w:tc>
          <w:tcPr>
            <w:tcW w:type="dxa" w:w="1608"/>
          </w:tcPr>
          <w:p>
            <w:r>
              <w:t>Oncology</w:t>
            </w:r>
          </w:p>
        </w:tc>
        <w:tc>
          <w:tcPr>
            <w:tcW w:type="dxa" w:w="1608"/>
          </w:tcPr>
          <w:p>
            <w:r>
              <w:t xml:space="preserve">  · Melanoma</w:t>
            </w:r>
          </w:p>
        </w:tc>
        <w:tc>
          <w:tcPr>
            <w:tcW w:type="dxa" w:w="1608"/>
          </w:tcPr>
          <w:p>
            <w:r>
              <w:t>8.5</w:t>
            </w:r>
          </w:p>
        </w:tc>
        <w:tc>
          <w:tcPr>
            <w:tcW w:type="dxa" w:w="1608"/>
          </w:tcPr>
          <w:p>
            <w:r>
              <w:t>14.5</w:t>
            </w:r>
          </w:p>
        </w:tc>
        <w:tc>
          <w:tcPr>
            <w:tcW w:type="dxa" w:w="1608"/>
          </w:tcPr>
          <w:p>
            <w:r>
              <w:t>11.3</w:t>
            </w:r>
          </w:p>
        </w:tc>
        <w:tc>
          <w:tcPr>
            <w:tcW w:type="dxa" w:w="1608"/>
          </w:tcPr>
          <w:p>
            <w:r>
              <w:t>Statista Melanoma</w:t>
            </w:r>
          </w:p>
        </w:tc>
      </w:tr>
      <w:tr>
        <w:tc>
          <w:tcPr>
            <w:tcW w:type="dxa" w:w="1608"/>
          </w:tcPr>
          <w:p>
            <w:r>
              <w:t>Oncology</w:t>
            </w:r>
          </w:p>
        </w:tc>
        <w:tc>
          <w:tcPr>
            <w:tcW w:type="dxa" w:w="1608"/>
          </w:tcPr>
          <w:p>
            <w:r>
              <w:t xml:space="preserve">  · Pancreatic</w:t>
            </w:r>
          </w:p>
        </w:tc>
        <w:tc>
          <w:tcPr>
            <w:tcW w:type="dxa" w:w="1608"/>
          </w:tcPr>
          <w:p>
            <w:r>
              <w:t>4.8</w:t>
            </w:r>
          </w:p>
        </w:tc>
        <w:tc>
          <w:tcPr>
            <w:tcW w:type="dxa" w:w="1608"/>
          </w:tcPr>
          <w:p>
            <w:r>
              <w:t>9.2</w:t>
            </w:r>
          </w:p>
        </w:tc>
        <w:tc>
          <w:tcPr>
            <w:tcW w:type="dxa" w:w="1608"/>
          </w:tcPr>
          <w:p>
            <w:r>
              <w:t>13.9</w:t>
            </w:r>
          </w:p>
        </w:tc>
        <w:tc>
          <w:tcPr>
            <w:tcW w:type="dxa" w:w="1608"/>
          </w:tcPr>
          <w:p>
            <w:r>
              <w:t>Mordor Intelligence</w:t>
            </w:r>
          </w:p>
        </w:tc>
      </w:tr>
      <w:tr>
        <w:tc>
          <w:tcPr>
            <w:tcW w:type="dxa" w:w="1608"/>
          </w:tcPr>
          <w:p>
            <w:r>
              <w:t>Oncology</w:t>
            </w:r>
          </w:p>
        </w:tc>
        <w:tc>
          <w:tcPr>
            <w:tcW w:type="dxa" w:w="1608"/>
          </w:tcPr>
          <w:p>
            <w:r>
              <w:t xml:space="preserve">  · Hepatocellular (HCC)</w:t>
            </w:r>
          </w:p>
        </w:tc>
        <w:tc>
          <w:tcPr>
            <w:tcW w:type="dxa" w:w="1608"/>
          </w:tcPr>
          <w:p>
            <w:r>
              <w:t>3.6</w:t>
            </w:r>
          </w:p>
        </w:tc>
        <w:tc>
          <w:tcPr>
            <w:tcW w:type="dxa" w:w="1608"/>
          </w:tcPr>
          <w:p>
            <w:r>
              <w:t>7.1</w:t>
            </w:r>
          </w:p>
        </w:tc>
        <w:tc>
          <w:tcPr>
            <w:tcW w:type="dxa" w:w="1608"/>
          </w:tcPr>
          <w:p>
            <w:r>
              <w:t>14.6</w:t>
            </w:r>
          </w:p>
        </w:tc>
        <w:tc>
          <w:tcPr>
            <w:tcW w:type="dxa" w:w="1608"/>
          </w:tcPr>
          <w:p>
            <w:r>
              <w:t>Fortune Business Insights</w:t>
            </w:r>
          </w:p>
        </w:tc>
      </w:tr>
      <w:tr>
        <w:tc>
          <w:tcPr>
            <w:tcW w:type="dxa" w:w="1608"/>
          </w:tcPr>
          <w:p>
            <w:r>
              <w:t>Heme</w:t>
            </w:r>
          </w:p>
        </w:tc>
        <w:tc>
          <w:tcPr>
            <w:tcW w:type="dxa" w:w="1608"/>
          </w:tcPr>
          <w:p>
            <w:r>
              <w:t>AML (Acute Myeloid Leukemia)</w:t>
            </w:r>
          </w:p>
        </w:tc>
        <w:tc>
          <w:tcPr>
            <w:tcW w:type="dxa" w:w="1608"/>
          </w:tcPr>
          <w:p>
            <w:r>
              <w:t>4.4</w:t>
            </w:r>
          </w:p>
        </w:tc>
        <w:tc>
          <w:tcPr>
            <w:tcW w:type="dxa" w:w="1608"/>
          </w:tcPr>
          <w:p>
            <w:r>
              <w:t>7.2</w:t>
            </w:r>
          </w:p>
        </w:tc>
        <w:tc>
          <w:tcPr>
            <w:tcW w:type="dxa" w:w="1608"/>
          </w:tcPr>
          <w:p>
            <w:r>
              <w:t>10.3</w:t>
            </w:r>
          </w:p>
        </w:tc>
        <w:tc>
          <w:tcPr>
            <w:tcW w:type="dxa" w:w="1608"/>
          </w:tcPr>
          <w:p>
            <w:r>
              <w:t>Globe Newswire AML</w:t>
            </w:r>
          </w:p>
        </w:tc>
      </w:tr>
      <w:tr>
        <w:tc>
          <w:tcPr>
            <w:tcW w:type="dxa" w:w="1608"/>
          </w:tcPr>
          <w:p>
            <w:r>
              <w:t>Renal</w:t>
            </w:r>
          </w:p>
        </w:tc>
        <w:tc>
          <w:tcPr>
            <w:tcW w:type="dxa" w:w="1608"/>
          </w:tcPr>
          <w:p>
            <w:r>
              <w:t>Diabetic Nephropathy</w:t>
            </w:r>
          </w:p>
        </w:tc>
        <w:tc>
          <w:tcPr>
            <w:tcW w:type="dxa" w:w="1608"/>
          </w:tcPr>
          <w:p>
            <w:r>
              <w:t>5.8</w:t>
            </w:r>
          </w:p>
        </w:tc>
        <w:tc>
          <w:tcPr>
            <w:tcW w:type="dxa" w:w="1608"/>
          </w:tcPr>
          <w:p>
            <w:r>
              <w:t>18.6</w:t>
            </w:r>
          </w:p>
        </w:tc>
        <w:tc>
          <w:tcPr>
            <w:tcW w:type="dxa" w:w="1608"/>
          </w:tcPr>
          <w:p>
            <w:r>
              <w:t>26.2</w:t>
            </w:r>
          </w:p>
        </w:tc>
        <w:tc>
          <w:tcPr>
            <w:tcW w:type="dxa" w:w="1608"/>
          </w:tcPr>
          <w:p>
            <w:r>
              <w:t>Mordor · Polaris</w:t>
            </w:r>
          </w:p>
        </w:tc>
      </w:tr>
      <w:tr>
        <w:tc>
          <w:tcPr>
            <w:tcW w:type="dxa" w:w="1608"/>
          </w:tcPr>
          <w:p>
            <w:r>
              <w:t>GI/Auto</w:t>
            </w:r>
          </w:p>
        </w:tc>
        <w:tc>
          <w:tcPr>
            <w:tcW w:type="dxa" w:w="1608"/>
          </w:tcPr>
          <w:p>
            <w:r>
              <w:t>IBD (Crohn's + UC)</w:t>
            </w:r>
          </w:p>
        </w:tc>
        <w:tc>
          <w:tcPr>
            <w:tcW w:type="dxa" w:w="1608"/>
          </w:tcPr>
          <w:p>
            <w:r>
              <w:t>20.4</w:t>
            </w:r>
          </w:p>
        </w:tc>
        <w:tc>
          <w:tcPr>
            <w:tcW w:type="dxa" w:w="1608"/>
          </w:tcPr>
          <w:p>
            <w:r>
              <w:t>32.0</w:t>
            </w:r>
          </w:p>
        </w:tc>
        <w:tc>
          <w:tcPr>
            <w:tcW w:type="dxa" w:w="1608"/>
          </w:tcPr>
          <w:p>
            <w:r>
              <w:t>9.4</w:t>
            </w:r>
          </w:p>
        </w:tc>
        <w:tc>
          <w:tcPr>
            <w:tcW w:type="dxa" w:w="1608"/>
          </w:tcPr>
          <w:p>
            <w:r>
              <w:t>Vantage IBD</w:t>
            </w:r>
          </w:p>
        </w:tc>
      </w:tr>
      <w:tr>
        <w:tc>
          <w:tcPr>
            <w:tcW w:type="dxa" w:w="1608"/>
          </w:tcPr>
          <w:p>
            <w:r>
              <w:t>Auto</w:t>
            </w:r>
          </w:p>
        </w:tc>
        <w:tc>
          <w:tcPr>
            <w:tcW w:type="dxa" w:w="1608"/>
          </w:tcPr>
          <w:p>
            <w:r>
              <w:t>RA (Rheumatoid Arthritis)</w:t>
            </w:r>
          </w:p>
        </w:tc>
        <w:tc>
          <w:tcPr>
            <w:tcW w:type="dxa" w:w="1608"/>
          </w:tcPr>
          <w:p>
            <w:r>
              <w:t>28.0</w:t>
            </w:r>
          </w:p>
        </w:tc>
        <w:tc>
          <w:tcPr>
            <w:tcW w:type="dxa" w:w="1608"/>
          </w:tcPr>
          <w:p>
            <w:r>
              <w:t>36.0</w:t>
            </w:r>
          </w:p>
        </w:tc>
        <w:tc>
          <w:tcPr>
            <w:tcW w:type="dxa" w:w="1608"/>
          </w:tcPr>
          <w:p>
            <w:r>
              <w:t>5.2</w:t>
            </w:r>
          </w:p>
        </w:tc>
        <w:tc>
          <w:tcPr>
            <w:tcW w:type="dxa" w:w="1608"/>
          </w:tcPr>
          <w:p>
            <w:r>
              <w:t>Allied Market RA</w:t>
            </w:r>
          </w:p>
        </w:tc>
      </w:tr>
      <w:tr>
        <w:tc>
          <w:tcPr>
            <w:tcW w:type="dxa" w:w="1608"/>
          </w:tcPr>
          <w:p>
            <w:r>
              <w:t>Auto</w:t>
            </w:r>
          </w:p>
        </w:tc>
        <w:tc>
          <w:tcPr>
            <w:tcW w:type="dxa" w:w="1608"/>
          </w:tcPr>
          <w:p>
            <w:r>
              <w:t>SLE (Lupus)</w:t>
            </w:r>
          </w:p>
        </w:tc>
        <w:tc>
          <w:tcPr>
            <w:tcW w:type="dxa" w:w="1608"/>
          </w:tcPr>
          <w:p>
            <w:r>
              <w:t>3.0</w:t>
            </w:r>
          </w:p>
        </w:tc>
        <w:tc>
          <w:tcPr>
            <w:tcW w:type="dxa" w:w="1608"/>
          </w:tcPr>
          <w:p>
            <w:r>
              <w:t>5.4</w:t>
            </w:r>
          </w:p>
        </w:tc>
        <w:tc>
          <w:tcPr>
            <w:tcW w:type="dxa" w:w="1608"/>
          </w:tcPr>
          <w:p>
            <w:r>
              <w:t>12.4</w:t>
            </w:r>
          </w:p>
        </w:tc>
        <w:tc>
          <w:tcPr>
            <w:tcW w:type="dxa" w:w="1608"/>
          </w:tcPr>
          <w:p>
            <w:r>
              <w:t>M&amp;M Lupus</w:t>
            </w:r>
          </w:p>
        </w:tc>
      </w:tr>
      <w:tr>
        <w:tc>
          <w:tcPr>
            <w:tcW w:type="dxa" w:w="1608"/>
          </w:tcPr>
          <w:p>
            <w:r>
              <w:t>Auto</w:t>
            </w:r>
          </w:p>
        </w:tc>
        <w:tc>
          <w:tcPr>
            <w:tcW w:type="dxa" w:w="1608"/>
          </w:tcPr>
          <w:p>
            <w:r>
              <w:t>CTD-other (Scleroderma · Sjögren's · etc.)</w:t>
            </w:r>
          </w:p>
        </w:tc>
        <w:tc>
          <w:tcPr>
            <w:tcW w:type="dxa" w:w="1608"/>
          </w:tcPr>
          <w:p>
            <w:r>
              <w:t>2.8</w:t>
            </w:r>
          </w:p>
        </w:tc>
        <w:tc>
          <w:tcPr>
            <w:tcW w:type="dxa" w:w="1608"/>
          </w:tcPr>
          <w:p>
            <w:r>
              <w:t>5.6</w:t>
            </w:r>
          </w:p>
        </w:tc>
        <w:tc>
          <w:tcPr>
            <w:tcW w:type="dxa" w:w="1608"/>
          </w:tcPr>
          <w:p>
            <w:r>
              <w:t>14.9</w:t>
            </w:r>
          </w:p>
        </w:tc>
        <w:tc>
          <w:tcPr>
            <w:tcW w:type="dxa" w:w="1608"/>
          </w:tcPr>
          <w:p>
            <w:r>
              <w:t>Grand View Autoimmune</w:t>
            </w:r>
          </w:p>
        </w:tc>
      </w:tr>
      <w:tr>
        <w:tc>
          <w:tcPr>
            <w:tcW w:type="dxa" w:w="1608"/>
          </w:tcPr>
          <w:p>
            <w:r>
              <w:t>Auto</w:t>
            </w:r>
          </w:p>
        </w:tc>
        <w:tc>
          <w:tcPr>
            <w:tcW w:type="dxa" w:w="1608"/>
          </w:tcPr>
          <w:p>
            <w:r>
              <w:t>MS (Multiple Sclerosis)</w:t>
            </w:r>
          </w:p>
        </w:tc>
        <w:tc>
          <w:tcPr>
            <w:tcW w:type="dxa" w:w="1608"/>
          </w:tcPr>
          <w:p>
            <w:r>
              <w:t>25.4</w:t>
            </w:r>
          </w:p>
        </w:tc>
        <w:tc>
          <w:tcPr>
            <w:tcW w:type="dxa" w:w="1608"/>
          </w:tcPr>
          <w:p>
            <w:r>
              <w:t>32.4</w:t>
            </w:r>
          </w:p>
        </w:tc>
        <w:tc>
          <w:tcPr>
            <w:tcW w:type="dxa" w:w="1608"/>
          </w:tcPr>
          <w:p>
            <w:r>
              <w:t>5.1</w:t>
            </w:r>
          </w:p>
        </w:tc>
        <w:tc>
          <w:tcPr>
            <w:tcW w:type="dxa" w:w="1608"/>
          </w:tcPr>
          <w:p>
            <w:r>
              <w:t>EvaluatePharma MS</w:t>
            </w:r>
          </w:p>
        </w:tc>
      </w:tr>
      <w:tr>
        <w:tc>
          <w:tcPr>
            <w:tcW w:type="dxa" w:w="1608"/>
          </w:tcPr>
          <w:p>
            <w:r>
              <w:t>Auto</w:t>
            </w:r>
          </w:p>
        </w:tc>
        <w:tc>
          <w:tcPr>
            <w:tcW w:type="dxa" w:w="1608"/>
          </w:tcPr>
          <w:p>
            <w:r>
              <w:t>Psoriasis &amp; PsA</w:t>
            </w:r>
          </w:p>
        </w:tc>
        <w:tc>
          <w:tcPr>
            <w:tcW w:type="dxa" w:w="1608"/>
          </w:tcPr>
          <w:p>
            <w:r>
              <w:t>32.2</w:t>
            </w:r>
          </w:p>
        </w:tc>
        <w:tc>
          <w:tcPr>
            <w:tcW w:type="dxa" w:w="1608"/>
          </w:tcPr>
          <w:p>
            <w:r>
              <w:t>47.0</w:t>
            </w:r>
          </w:p>
        </w:tc>
        <w:tc>
          <w:tcPr>
            <w:tcW w:type="dxa" w:w="1608"/>
          </w:tcPr>
          <w:p>
            <w:r>
              <w:t>7.8</w:t>
            </w:r>
          </w:p>
        </w:tc>
        <w:tc>
          <w:tcPr>
            <w:tcW w:type="dxa" w:w="1608"/>
          </w:tcPr>
          <w:p>
            <w:r>
              <w:t>Vantage Psoriasis</w:t>
            </w:r>
          </w:p>
        </w:tc>
      </w:tr>
      <w:tr>
        <w:tc>
          <w:tcPr>
            <w:tcW w:type="dxa" w:w="1608"/>
          </w:tcPr>
          <w:p>
            <w:r>
              <w:t>Neuro</w:t>
            </w:r>
          </w:p>
        </w:tc>
        <w:tc>
          <w:tcPr>
            <w:tcW w:type="dxa" w:w="1608"/>
          </w:tcPr>
          <w:p>
            <w:r>
              <w:t>Alzheimer's Disease</w:t>
            </w:r>
          </w:p>
        </w:tc>
        <w:tc>
          <w:tcPr>
            <w:tcW w:type="dxa" w:w="1608"/>
          </w:tcPr>
          <w:p>
            <w:r>
              <w:t>7.5</w:t>
            </w:r>
          </w:p>
        </w:tc>
        <w:tc>
          <w:tcPr>
            <w:tcW w:type="dxa" w:w="1608"/>
          </w:tcPr>
          <w:p>
            <w:r>
              <w:t>24.5</w:t>
            </w:r>
          </w:p>
        </w:tc>
        <w:tc>
          <w:tcPr>
            <w:tcW w:type="dxa" w:w="1608"/>
          </w:tcPr>
          <w:p>
            <w:r>
              <w:t>26.8</w:t>
            </w:r>
          </w:p>
        </w:tc>
        <w:tc>
          <w:tcPr>
            <w:tcW w:type="dxa" w:w="1608"/>
          </w:tcPr>
          <w:p>
            <w:r>
              <w:t>GlobalData AD</w:t>
            </w:r>
          </w:p>
        </w:tc>
      </w:tr>
      <w:tr>
        <w:tc>
          <w:tcPr>
            <w:tcW w:type="dxa" w:w="1608"/>
          </w:tcPr>
          <w:p>
            <w:r>
              <w:t>Neuro</w:t>
            </w:r>
          </w:p>
        </w:tc>
        <w:tc>
          <w:tcPr>
            <w:tcW w:type="dxa" w:w="1608"/>
          </w:tcPr>
          <w:p>
            <w:r>
              <w:t>Parkinson's Disease</w:t>
            </w:r>
          </w:p>
        </w:tc>
        <w:tc>
          <w:tcPr>
            <w:tcW w:type="dxa" w:w="1608"/>
          </w:tcPr>
          <w:p>
            <w:r>
              <w:t>5.6</w:t>
            </w:r>
          </w:p>
        </w:tc>
        <w:tc>
          <w:tcPr>
            <w:tcW w:type="dxa" w:w="1608"/>
          </w:tcPr>
          <w:p>
            <w:r>
              <w:t>11.4</w:t>
            </w:r>
          </w:p>
        </w:tc>
        <w:tc>
          <w:tcPr>
            <w:tcW w:type="dxa" w:w="1608"/>
          </w:tcPr>
          <w:p>
            <w:r>
              <w:t>15.3</w:t>
            </w:r>
          </w:p>
        </w:tc>
        <w:tc>
          <w:tcPr>
            <w:tcW w:type="dxa" w:w="1608"/>
          </w:tcPr>
          <w:p>
            <w:r>
              <w:t>M&amp;M Parkinson's</w:t>
            </w:r>
          </w:p>
        </w:tc>
      </w:tr>
      <w:tr>
        <w:tc>
          <w:tcPr>
            <w:tcW w:type="dxa" w:w="1608"/>
          </w:tcPr>
          <w:p>
            <w:r>
              <w:t>Neuro</w:t>
            </w:r>
          </w:p>
        </w:tc>
        <w:tc>
          <w:tcPr>
            <w:tcW w:type="dxa" w:w="1608"/>
          </w:tcPr>
          <w:p>
            <w:r>
              <w:t>ALS</w:t>
            </w:r>
          </w:p>
        </w:tc>
        <w:tc>
          <w:tcPr>
            <w:tcW w:type="dxa" w:w="1608"/>
          </w:tcPr>
          <w:p>
            <w:r>
              <w:t>0.9</w:t>
            </w:r>
          </w:p>
        </w:tc>
        <w:tc>
          <w:tcPr>
            <w:tcW w:type="dxa" w:w="1608"/>
          </w:tcPr>
          <w:p>
            <w:r>
              <w:t>1.9</w:t>
            </w:r>
          </w:p>
        </w:tc>
        <w:tc>
          <w:tcPr>
            <w:tcW w:type="dxa" w:w="1608"/>
          </w:tcPr>
          <w:p>
            <w:r>
              <w:t>16.1</w:t>
            </w:r>
          </w:p>
        </w:tc>
        <w:tc>
          <w:tcPr>
            <w:tcW w:type="dxa" w:w="1608"/>
          </w:tcPr>
          <w:p>
            <w:r>
              <w:t>Cortellis · GlobalData</w:t>
            </w:r>
          </w:p>
        </w:tc>
      </w:tr>
      <w:tr>
        <w:tc>
          <w:tcPr>
            <w:tcW w:type="dxa" w:w="1608"/>
          </w:tcPr>
          <w:p>
            <w:r>
              <w:t>Other</w:t>
            </w:r>
          </w:p>
        </w:tc>
        <w:tc>
          <w:tcPr>
            <w:tcW w:type="dxa" w:w="1608"/>
          </w:tcPr>
          <w:p>
            <w:r>
              <w:t>Depression / TRD</w:t>
            </w:r>
          </w:p>
        </w:tc>
        <w:tc>
          <w:tcPr>
            <w:tcW w:type="dxa" w:w="1608"/>
          </w:tcPr>
          <w:p>
            <w:r>
              <w:t>19.5</w:t>
            </w:r>
          </w:p>
        </w:tc>
        <w:tc>
          <w:tcPr>
            <w:tcW w:type="dxa" w:w="1608"/>
          </w:tcPr>
          <w:p>
            <w:r>
              <w:t>28.6</w:t>
            </w:r>
          </w:p>
        </w:tc>
        <w:tc>
          <w:tcPr>
            <w:tcW w:type="dxa" w:w="1608"/>
          </w:tcPr>
          <w:p>
            <w:r>
              <w:t>8.0</w:t>
            </w:r>
          </w:p>
        </w:tc>
        <w:tc>
          <w:tcPr>
            <w:tcW w:type="dxa" w:w="1608"/>
          </w:tcPr>
          <w:p>
            <w:r>
              <w:t>Vantage Depression</w:t>
            </w:r>
          </w:p>
        </w:tc>
      </w:tr>
      <w:tr>
        <w:tc>
          <w:tcPr>
            <w:tcW w:type="dxa" w:w="1608"/>
          </w:tcPr>
          <w:p>
            <w:r>
              <w:t>Metabolic</w:t>
            </w:r>
          </w:p>
        </w:tc>
        <w:tc>
          <w:tcPr>
            <w:tcW w:type="dxa" w:w="1608"/>
          </w:tcPr>
          <w:p>
            <w:r>
              <w:t>Obesity / Metabolic</w:t>
            </w:r>
          </w:p>
        </w:tc>
        <w:tc>
          <w:tcPr>
            <w:tcW w:type="dxa" w:w="1608"/>
          </w:tcPr>
          <w:p>
            <w:r>
              <w:t>22.0</w:t>
            </w:r>
          </w:p>
        </w:tc>
        <w:tc>
          <w:tcPr>
            <w:tcW w:type="dxa" w:w="1608"/>
          </w:tcPr>
          <w:p>
            <w:r>
              <w:t>70.0</w:t>
            </w:r>
          </w:p>
        </w:tc>
        <w:tc>
          <w:tcPr>
            <w:tcW w:type="dxa" w:w="1608"/>
          </w:tcPr>
          <w:p>
            <w:r>
              <w:t>26.0</w:t>
            </w:r>
          </w:p>
        </w:tc>
        <w:tc>
          <w:tcPr>
            <w:tcW w:type="dxa" w:w="1608"/>
          </w:tcPr>
          <w:p>
            <w:r>
              <w:t>Morgan Stanley · Statista</w:t>
            </w:r>
          </w:p>
        </w:tc>
      </w:tr>
      <w:tr>
        <w:tc>
          <w:tcPr>
            <w:tcW w:type="dxa" w:w="1608"/>
          </w:tcPr>
          <w:p>
            <w:r>
              <w:t>Renal</w:t>
            </w:r>
          </w:p>
        </w:tc>
        <w:tc>
          <w:tcPr>
            <w:tcW w:type="dxa" w:w="1608"/>
          </w:tcPr>
          <w:p>
            <w:r>
              <w:t>CKD-non-diabetic</w:t>
            </w:r>
          </w:p>
        </w:tc>
        <w:tc>
          <w:tcPr>
            <w:tcW w:type="dxa" w:w="1608"/>
          </w:tcPr>
          <w:p>
            <w:r>
              <w:t>3.8</w:t>
            </w:r>
          </w:p>
        </w:tc>
        <w:tc>
          <w:tcPr>
            <w:tcW w:type="dxa" w:w="1608"/>
          </w:tcPr>
          <w:p>
            <w:r>
              <w:t>9.2</w:t>
            </w:r>
          </w:p>
        </w:tc>
        <w:tc>
          <w:tcPr>
            <w:tcW w:type="dxa" w:w="1608"/>
          </w:tcPr>
          <w:p>
            <w:r>
              <w:t>19.3</w:t>
            </w:r>
          </w:p>
        </w:tc>
        <w:tc>
          <w:tcPr>
            <w:tcW w:type="dxa" w:w="1608"/>
          </w:tcPr>
          <w:p>
            <w:r>
              <w:t>Mordor Nephrology</w:t>
            </w:r>
          </w:p>
        </w:tc>
      </w:tr>
      <w:tr>
        <w:tc>
          <w:tcPr>
            <w:tcW w:type="dxa" w:w="1608"/>
          </w:tcPr>
          <w:p>
            <w:r>
              <w:t>Diagnostics + Dx</w:t>
            </w:r>
          </w:p>
        </w:tc>
        <w:tc>
          <w:tcPr>
            <w:tcW w:type="dxa" w:w="1608"/>
          </w:tcPr>
          <w:p>
            <w:r>
              <w:t>Wound Care + AMR (Antimicrobial Resistance)</w:t>
            </w:r>
          </w:p>
        </w:tc>
        <w:tc>
          <w:tcPr>
            <w:tcW w:type="dxa" w:w="1608"/>
          </w:tcPr>
          <w:p>
            <w:r>
              <w:t>24.5</w:t>
            </w:r>
          </w:p>
        </w:tc>
        <w:tc>
          <w:tcPr>
            <w:tcW w:type="dxa" w:w="1608"/>
          </w:tcPr>
          <w:p>
            <w:r>
              <w:t>41.8</w:t>
            </w:r>
          </w:p>
        </w:tc>
        <w:tc>
          <w:tcPr>
            <w:tcW w:type="dxa" w:w="1608"/>
          </w:tcPr>
          <w:p>
            <w:r>
              <w:t>11.3</w:t>
            </w:r>
          </w:p>
        </w:tc>
        <w:tc>
          <w:tcPr>
            <w:tcW w:type="dxa" w:w="1608"/>
          </w:tcPr>
          <w:p>
            <w:r>
              <w:t>Fortune · CDC AMR · Pew</w:t>
            </w:r>
          </w:p>
        </w:tc>
      </w:tr>
      <w:tr>
        <w:tc>
          <w:tcPr>
            <w:tcW w:type="dxa" w:w="1608"/>
          </w:tcPr>
          <w:p>
            <w:r>
              <w:t>Consumer</w:t>
            </w:r>
          </w:p>
        </w:tc>
        <w:tc>
          <w:tcPr>
            <w:tcW w:type="dxa" w:w="1608"/>
          </w:tcPr>
          <w:p>
            <w:r>
              <w:t>Wellness / Longevity / Consumer Biomarker</w:t>
            </w:r>
          </w:p>
        </w:tc>
        <w:tc>
          <w:tcPr>
            <w:tcW w:type="dxa" w:w="1608"/>
          </w:tcPr>
          <w:p>
            <w:r>
              <w:t>5600.0</w:t>
            </w:r>
          </w:p>
        </w:tc>
        <w:tc>
          <w:tcPr>
            <w:tcW w:type="dxa" w:w="1608"/>
          </w:tcPr>
          <w:p>
            <w:r>
              <w:t>8500.0</w:t>
            </w:r>
          </w:p>
        </w:tc>
        <w:tc>
          <w:tcPr>
            <w:tcW w:type="dxa" w:w="1608"/>
          </w:tcPr>
          <w:p>
            <w:r>
              <w:t>8.9</w:t>
            </w:r>
          </w:p>
        </w:tc>
        <w:tc>
          <w:tcPr>
            <w:tcW w:type="dxa" w:w="1608"/>
          </w:tcPr>
          <w:p>
            <w:r>
              <w:t>GWI · BoA Research · Fortune</w:t>
            </w:r>
          </w:p>
        </w:tc>
      </w:tr>
      <w:tr>
        <w:tc>
          <w:tcPr>
            <w:tcW w:type="dxa" w:w="1608"/>
          </w:tcPr>
          <w:p>
            <w:r>
              <w:t>Cross-vertical</w:t>
            </w:r>
          </w:p>
        </w:tc>
        <w:tc>
          <w:tcPr>
            <w:tcW w:type="dxa" w:w="1608"/>
          </w:tcPr>
          <w:p>
            <w:r>
              <w:t>Agentic AI / Enterprise Cross-Vertical</w:t>
            </w:r>
          </w:p>
        </w:tc>
        <w:tc>
          <w:tcPr>
            <w:tcW w:type="dxa" w:w="1608"/>
          </w:tcPr>
          <w:p>
            <w:r>
              <w:t>7.5</w:t>
            </w:r>
          </w:p>
        </w:tc>
        <w:tc>
          <w:tcPr>
            <w:tcW w:type="dxa" w:w="1608"/>
          </w:tcPr>
          <w:p>
            <w:r>
              <w:t>85.0</w:t>
            </w:r>
          </w:p>
        </w:tc>
        <w:tc>
          <w:tcPr>
            <w:tcW w:type="dxa" w:w="1608"/>
          </w:tcPr>
          <w:p>
            <w:r>
              <w:t>50.2</w:t>
            </w:r>
          </w:p>
        </w:tc>
        <w:tc>
          <w:tcPr>
            <w:tcW w:type="dxa" w:w="1608"/>
          </w:tcPr>
          <w:p>
            <w:r>
              <w:t>Gartner · M&amp;M · IDC</w:t>
            </w:r>
          </w:p>
        </w:tc>
      </w:tr>
    </w:tbl>
    <w:p/>
    <w:p>
      <w:r>
        <w:rPr>
          <w:b/>
          <w:color w:val="C8102E"/>
          <w:sz w:val="26"/>
        </w:rPr>
        <w:t>Revenue Model — Five Streams</w:t>
      </w:r>
    </w:p>
    <w:p>
      <w:r>
        <w:rPr>
          <w:b/>
          <w:color w:val="1A1A1A"/>
          <w:sz w:val="26"/>
        </w:rPr>
        <w:t>Stream 1 · SaaS subscription licensing (six customer segments)</w:t>
      </w:r>
    </w:p>
    <w:p>
      <w:r>
        <w:rPr>
          <w:b w:val="0"/>
          <w:i w:val="0"/>
          <w:color w:val="222222"/>
          <w:sz w:val="22"/>
        </w:rPr>
        <w:t>Six customer segments with tiered ASPs. Year-5 base totals 562 customers and $250M revenue.</w:t>
      </w:r>
    </w:p>
    <w:p>
      <w:r>
        <w:rPr>
          <w:b/>
          <w:color w:val="1A1A1A"/>
          <w:sz w:val="22"/>
        </w:rPr>
        <w:t xml:space="preserve">Big Pharma platform license — </w:t>
      </w:r>
      <w:r>
        <w:rPr>
          <w:color w:val="222222"/>
          <w:sz w:val="22"/>
        </w:rPr>
        <w:t>$1.50M / yr (avg) · Y5 base 30 customers. Enterprise license to top-25 pharma sponsors. Full platform plus dedicated support plus per-program runs. 9–12 month sales cycle.</w:t>
      </w:r>
    </w:p>
    <w:p>
      <w:r>
        <w:rPr>
          <w:b/>
          <w:color w:val="1A1A1A"/>
          <w:sz w:val="22"/>
        </w:rPr>
        <w:t xml:space="preserve">Mid-Cap Biotech modular license — </w:t>
      </w:r>
      <w:r>
        <w:rPr>
          <w:color w:val="222222"/>
          <w:sz w:val="22"/>
        </w:rPr>
        <w:t>$0.55M / yr · Y5 base 130 customers. $50M+ R&amp;D budgets, modular module access (causal DAG, Mendelian randomization, in-silico perturbation). 6 month sales cycle.</w:t>
      </w:r>
    </w:p>
    <w:p>
      <w:r>
        <w:rPr>
          <w:b/>
          <w:color w:val="1A1A1A"/>
          <w:sz w:val="22"/>
        </w:rPr>
        <w:t xml:space="preserve">Small Biotech SaaS subscription — </w:t>
      </w:r>
      <w:r>
        <w:rPr>
          <w:color w:val="222222"/>
          <w:sz w:val="22"/>
        </w:rPr>
        <w:t>$0.16M / yr · Y5 base 230 customers. Series A/B startups, self-serve. 3 month sales cycle.</w:t>
      </w:r>
    </w:p>
    <w:p>
      <w:r>
        <w:rPr>
          <w:b/>
          <w:color w:val="1A1A1A"/>
          <w:sz w:val="22"/>
        </w:rPr>
        <w:t xml:space="preserve">CRO platform license — </w:t>
      </w:r>
      <w:r>
        <w:rPr>
          <w:color w:val="222222"/>
          <w:sz w:val="22"/>
        </w:rPr>
        <w:t>$0.85M / yr · Y5 base 32 customers. Tier-1 contract research organizations sub-license modules to their clients. White-label rights available.</w:t>
      </w:r>
    </w:p>
    <w:p>
      <w:r>
        <w:rPr>
          <w:b/>
          <w:color w:val="1A1A1A"/>
          <w:sz w:val="22"/>
        </w:rPr>
        <w:t xml:space="preserve">AMC research-tier license — </w:t>
      </w:r>
      <w:r>
        <w:rPr>
          <w:color w:val="222222"/>
          <w:sz w:val="22"/>
        </w:rPr>
        <w:t>$0.12M / yr · Y5 base 80 customers. Top-150 US Academic Medical Centers plus international equivalents. Research-only.</w:t>
      </w:r>
    </w:p>
    <w:p>
      <w:r>
        <w:rPr>
          <w:b/>
          <w:color w:val="1A1A1A"/>
          <w:sz w:val="22"/>
        </w:rPr>
        <w:t xml:space="preserve">Government / NIH contract — </w:t>
      </w:r>
      <w:r>
        <w:rPr>
          <w:color w:val="222222"/>
          <w:sz w:val="22"/>
        </w:rPr>
        <w:t>$0.20M / yr · Y5 base 60 customers. Federally-funded labs, consortia, foundations. NIH grant-attached pricing.</w:t>
      </w:r>
    </w:p>
    <w:p>
      <w:r>
        <w:rPr>
          <w:b/>
          <w:color w:val="1A1A1A"/>
          <w:sz w:val="26"/>
        </w:rPr>
        <w:t>Stream 2 · Co-development partnerships</w:t>
      </w:r>
    </w:p>
    <w:p>
      <w:r>
        <w:rPr>
          <w:b w:val="0"/>
          <w:i w:val="0"/>
          <w:color w:val="222222"/>
          <w:sz w:val="22"/>
        </w:rPr>
        <w:t>$5M upfront + $8M y+2 + $12M y+3 + $18M y+4 commercial-readiness + 3–7% royalty. Strategic arrangements where BiRAGAS operates upstream target discovery for a specific indication. New partnerships: 1/3/5/7/9 over 5 years (base, cumulative 25 by 2030). Year-5 base revenue: $215M.</w:t>
      </w:r>
    </w:p>
    <w:p>
      <w:r>
        <w:rPr>
          <w:b/>
          <w:color w:val="1A1A1A"/>
          <w:sz w:val="26"/>
        </w:rPr>
        <w:t>Stream 3 · Companion Diagnostic royalties</w:t>
      </w:r>
    </w:p>
    <w:p>
      <w:r>
        <w:rPr>
          <w:b w:val="0"/>
          <w:i w:val="0"/>
          <w:color w:val="222222"/>
          <w:sz w:val="22"/>
        </w:rPr>
        <w:t>Royalties on BiRAGAS-discovered companion diagnostics approved alongside sponsor drugs. Per-launch ramp: $1.2M Y0 → $3.6M Y+1 → $6M Y+2 steady state. Cumulative launches by year: 0/0/1/2/3 over five years. First launch 2028 (base case). Year-5 base: 3 cumulative launches contributing royalty, $16.8M.</w:t>
      </w:r>
    </w:p>
    <w:p>
      <w:r>
        <w:rPr>
          <w:b/>
          <w:color w:val="1A1A1A"/>
          <w:sz w:val="26"/>
        </w:rPr>
        <w:t>Stream 4 · LDT / Diagnostic Test Revenue</w:t>
      </w:r>
    </w:p>
    <w:p>
      <w:r>
        <w:rPr>
          <w:b w:val="0"/>
          <w:i w:val="0"/>
          <w:color w:val="222222"/>
          <w:sz w:val="22"/>
        </w:rPr>
        <w:t>Per-patient utilization revenue across ten disease-specific Laboratory-Developed Tests under CLIA. Total Year-5 base: $99.5M revenue at 67% gross margin. Sourced from the BiRAGAS Utilization workbook with disease epidemiology cross-checks.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>
              <w:rPr>
                <w:b/>
              </w:rPr>
              <w:t>LDT line</w:t>
            </w:r>
          </w:p>
        </w:tc>
        <w:tc>
          <w:tcPr>
            <w:tcW w:type="dxa" w:w="1206"/>
          </w:tcPr>
          <w:p>
            <w:r>
              <w:rPr>
                <w:b/>
              </w:rPr>
              <w:t>ASP / test</w:t>
            </w:r>
          </w:p>
        </w:tc>
        <w:tc>
          <w:tcPr>
            <w:tcW w:type="dxa" w:w="1206"/>
          </w:tcPr>
          <w:p>
            <w:r>
              <w:rPr>
                <w:b/>
              </w:rPr>
              <w:t>Y5 volume</w:t>
            </w:r>
          </w:p>
        </w:tc>
        <w:tc>
          <w:tcPr>
            <w:tcW w:type="dxa" w:w="1206"/>
          </w:tcPr>
          <w:p>
            <w:r>
              <w:rPr>
                <w:b/>
              </w:rPr>
              <w:t>2026</w:t>
            </w:r>
          </w:p>
        </w:tc>
        <w:tc>
          <w:tcPr>
            <w:tcW w:type="dxa" w:w="1206"/>
          </w:tcPr>
          <w:p>
            <w:r>
              <w:rPr>
                <w:b/>
              </w:rPr>
              <w:t>2027</w:t>
            </w:r>
          </w:p>
        </w:tc>
        <w:tc>
          <w:tcPr>
            <w:tcW w:type="dxa" w:w="1206"/>
          </w:tcPr>
          <w:p>
            <w:r>
              <w:rPr>
                <w:b/>
              </w:rPr>
              <w:t>2028</w:t>
            </w:r>
          </w:p>
        </w:tc>
        <w:tc>
          <w:tcPr>
            <w:tcW w:type="dxa" w:w="1206"/>
          </w:tcPr>
          <w:p>
            <w:r>
              <w:rPr>
                <w:b/>
              </w:rPr>
              <w:t>2029</w:t>
            </w:r>
          </w:p>
        </w:tc>
        <w:tc>
          <w:tcPr>
            <w:tcW w:type="dxa" w:w="1206"/>
          </w:tcPr>
          <w:p>
            <w:r>
              <w:rPr>
                <w:b/>
              </w:rPr>
              <w:t>2030</w:t>
            </w:r>
          </w:p>
        </w:tc>
      </w:tr>
      <w:tr>
        <w:tc>
          <w:tcPr>
            <w:tcW w:type="dxa" w:w="1206"/>
          </w:tcPr>
          <w:p>
            <w:r>
              <w:t>AML Stratification LDT</w:t>
            </w:r>
          </w:p>
        </w:tc>
        <w:tc>
          <w:tcPr>
            <w:tcW w:type="dxa" w:w="1206"/>
          </w:tcPr>
          <w:p>
            <w:r>
              <w:t>$1800</w:t>
            </w:r>
          </w:p>
        </w:tc>
        <w:tc>
          <w:tcPr>
            <w:tcW w:type="dxa" w:w="1206"/>
          </w:tcPr>
          <w:p>
            <w:r>
              <w:t>45,000 tests/yr</w:t>
            </w:r>
          </w:p>
        </w:tc>
        <w:tc>
          <w:tcPr>
            <w:tcW w:type="dxa" w:w="1206"/>
          </w:tcPr>
          <w:p>
            <w:r>
              <w:t>0.3</w:t>
            </w:r>
          </w:p>
        </w:tc>
        <w:tc>
          <w:tcPr>
            <w:tcW w:type="dxa" w:w="1206"/>
          </w:tcPr>
          <w:p>
            <w:r>
              <w:t>1.5</w:t>
            </w:r>
          </w:p>
        </w:tc>
        <w:tc>
          <w:tcPr>
            <w:tcW w:type="dxa" w:w="1206"/>
          </w:tcPr>
          <w:p>
            <w:r>
              <w:t>3.2</w:t>
            </w:r>
          </w:p>
        </w:tc>
        <w:tc>
          <w:tcPr>
            <w:tcW w:type="dxa" w:w="1206"/>
          </w:tcPr>
          <w:p>
            <w:r>
              <w:t>5.5</w:t>
            </w:r>
          </w:p>
        </w:tc>
        <w:tc>
          <w:tcPr>
            <w:tcW w:type="dxa" w:w="1206"/>
          </w:tcPr>
          <w:p>
            <w:r>
              <w:t>8.5</w:t>
            </w:r>
          </w:p>
        </w:tc>
      </w:tr>
      <w:tr>
        <w:tc>
          <w:tcPr>
            <w:tcW w:type="dxa" w:w="1206"/>
          </w:tcPr>
          <w:p>
            <w:r>
              <w:t>DKD Progression Risk LDT</w:t>
            </w:r>
          </w:p>
        </w:tc>
        <w:tc>
          <w:tcPr>
            <w:tcW w:type="dxa" w:w="1206"/>
          </w:tcPr>
          <w:p>
            <w:r>
              <w:t>$650</w:t>
            </w:r>
          </w:p>
        </w:tc>
        <w:tc>
          <w:tcPr>
            <w:tcW w:type="dxa" w:w="1206"/>
          </w:tcPr>
          <w:p>
            <w:r>
              <w:t>1.2M T2D pts/yr</w:t>
            </w:r>
          </w:p>
        </w:tc>
        <w:tc>
          <w:tcPr>
            <w:tcW w:type="dxa" w:w="1206"/>
          </w:tcPr>
          <w:p>
            <w:r>
              <w:t>0.4</w:t>
            </w:r>
          </w:p>
        </w:tc>
        <w:tc>
          <w:tcPr>
            <w:tcW w:type="dxa" w:w="1206"/>
          </w:tcPr>
          <w:p>
            <w:r>
              <w:t>2.0</w:t>
            </w:r>
          </w:p>
        </w:tc>
        <w:tc>
          <w:tcPr>
            <w:tcW w:type="dxa" w:w="1206"/>
          </w:tcPr>
          <w:p>
            <w:r>
              <w:t>4.8</w:t>
            </w:r>
          </w:p>
        </w:tc>
        <w:tc>
          <w:tcPr>
            <w:tcW w:type="dxa" w:w="1206"/>
          </w:tcPr>
          <w:p>
            <w:r>
              <w:t>8.0</w:t>
            </w:r>
          </w:p>
        </w:tc>
        <w:tc>
          <w:tcPr>
            <w:tcW w:type="dxa" w:w="1206"/>
          </w:tcPr>
          <w:p>
            <w:r>
              <w:t>11.0</w:t>
            </w:r>
          </w:p>
        </w:tc>
      </w:tr>
      <w:tr>
        <w:tc>
          <w:tcPr>
            <w:tcW w:type="dxa" w:w="1206"/>
          </w:tcPr>
          <w:p>
            <w:r>
              <w:t>Non-Healing Wound LDT</w:t>
            </w:r>
          </w:p>
        </w:tc>
        <w:tc>
          <w:tcPr>
            <w:tcW w:type="dxa" w:w="1206"/>
          </w:tcPr>
          <w:p>
            <w:r>
              <w:t>$850</w:t>
            </w:r>
          </w:p>
        </w:tc>
        <w:tc>
          <w:tcPr>
            <w:tcW w:type="dxa" w:w="1206"/>
          </w:tcPr>
          <w:p>
            <w:r>
              <w:t>800,000 tests/yr</w:t>
            </w:r>
          </w:p>
        </w:tc>
        <w:tc>
          <w:tcPr>
            <w:tcW w:type="dxa" w:w="1206"/>
          </w:tcPr>
          <w:p>
            <w:r>
              <w:t>0.3</w:t>
            </w:r>
          </w:p>
        </w:tc>
        <w:tc>
          <w:tcPr>
            <w:tcW w:type="dxa" w:w="1206"/>
          </w:tcPr>
          <w:p>
            <w:r>
              <w:t>2.5</w:t>
            </w:r>
          </w:p>
        </w:tc>
        <w:tc>
          <w:tcPr>
            <w:tcW w:type="dxa" w:w="1206"/>
          </w:tcPr>
          <w:p>
            <w:r>
              <w:t>6.0</w:t>
            </w:r>
          </w:p>
        </w:tc>
        <w:tc>
          <w:tcPr>
            <w:tcW w:type="dxa" w:w="1206"/>
          </w:tcPr>
          <w:p>
            <w:r>
              <w:t>10.5</w:t>
            </w:r>
          </w:p>
        </w:tc>
        <w:tc>
          <w:tcPr>
            <w:tcW w:type="dxa" w:w="1206"/>
          </w:tcPr>
          <w:p>
            <w:r>
              <w:t>14.5</w:t>
            </w:r>
          </w:p>
        </w:tc>
      </w:tr>
      <w:tr>
        <w:tc>
          <w:tcPr>
            <w:tcW w:type="dxa" w:w="1206"/>
          </w:tcPr>
          <w:p>
            <w:r>
              <w:t>Pancreatic Early Detection ncRNA Panel</w:t>
            </w:r>
          </w:p>
        </w:tc>
        <w:tc>
          <w:tcPr>
            <w:tcW w:type="dxa" w:w="1206"/>
          </w:tcPr>
          <w:p>
            <w:r>
              <w:t>$950</w:t>
            </w:r>
          </w:p>
        </w:tc>
        <w:tc>
          <w:tcPr>
            <w:tcW w:type="dxa" w:w="1206"/>
          </w:tcPr>
          <w:p>
            <w:r>
              <w:t>50,000 tests/yr (high-risk)</w:t>
            </w:r>
          </w:p>
        </w:tc>
        <w:tc>
          <w:tcPr>
            <w:tcW w:type="dxa" w:w="1206"/>
          </w:tcPr>
          <w:p>
            <w:r>
              <w:t>0.2</w:t>
            </w:r>
          </w:p>
        </w:tc>
        <w:tc>
          <w:tcPr>
            <w:tcW w:type="dxa" w:w="1206"/>
          </w:tcPr>
          <w:p>
            <w:r>
              <w:t>1.0</w:t>
            </w:r>
          </w:p>
        </w:tc>
        <w:tc>
          <w:tcPr>
            <w:tcW w:type="dxa" w:w="1206"/>
          </w:tcPr>
          <w:p>
            <w:r>
              <w:t>2.5</w:t>
            </w:r>
          </w:p>
        </w:tc>
        <w:tc>
          <w:tcPr>
            <w:tcW w:type="dxa" w:w="1206"/>
          </w:tcPr>
          <w:p>
            <w:r>
              <w:t>4.5</w:t>
            </w:r>
          </w:p>
        </w:tc>
        <w:tc>
          <w:tcPr>
            <w:tcW w:type="dxa" w:w="1206"/>
          </w:tcPr>
          <w:p>
            <w:r>
              <w:t>6.5</w:t>
            </w:r>
          </w:p>
        </w:tc>
      </w:tr>
      <w:tr>
        <w:tc>
          <w:tcPr>
            <w:tcW w:type="dxa" w:w="1206"/>
          </w:tcPr>
          <w:p>
            <w:r>
              <w:t>IO Response Predictor (Melanoma)</w:t>
            </w:r>
          </w:p>
        </w:tc>
        <w:tc>
          <w:tcPr>
            <w:tcW w:type="dxa" w:w="1206"/>
          </w:tcPr>
          <w:p>
            <w:r>
              <w:t>$1200</w:t>
            </w:r>
          </w:p>
        </w:tc>
        <w:tc>
          <w:tcPr>
            <w:tcW w:type="dxa" w:w="1206"/>
          </w:tcPr>
          <w:p>
            <w:r>
              <w:t>90,000 tests/yr</w:t>
            </w:r>
          </w:p>
        </w:tc>
        <w:tc>
          <w:tcPr>
            <w:tcW w:type="dxa" w:w="1206"/>
          </w:tcPr>
          <w:p>
            <w:r>
              <w:t>0.3</w:t>
            </w:r>
          </w:p>
        </w:tc>
        <w:tc>
          <w:tcPr>
            <w:tcW w:type="dxa" w:w="1206"/>
          </w:tcPr>
          <w:p>
            <w:r>
              <w:t>1.5</w:t>
            </w:r>
          </w:p>
        </w:tc>
        <w:tc>
          <w:tcPr>
            <w:tcW w:type="dxa" w:w="1206"/>
          </w:tcPr>
          <w:p>
            <w:r>
              <w:t>3.5</w:t>
            </w:r>
          </w:p>
        </w:tc>
        <w:tc>
          <w:tcPr>
            <w:tcW w:type="dxa" w:w="1206"/>
          </w:tcPr>
          <w:p>
            <w:r>
              <w:t>6.0</w:t>
            </w:r>
          </w:p>
        </w:tc>
        <w:tc>
          <w:tcPr>
            <w:tcW w:type="dxa" w:w="1206"/>
          </w:tcPr>
          <w:p>
            <w:r>
              <w:t>8.5</w:t>
            </w:r>
          </w:p>
        </w:tc>
      </w:tr>
      <w:tr>
        <w:tc>
          <w:tcPr>
            <w:tcW w:type="dxa" w:w="1206"/>
          </w:tcPr>
          <w:p>
            <w:r>
              <w:t>Biologic Responder LDT (Autoimmune)</w:t>
            </w:r>
          </w:p>
        </w:tc>
        <w:tc>
          <w:tcPr>
            <w:tcW w:type="dxa" w:w="1206"/>
          </w:tcPr>
          <w:p>
            <w:r>
              <w:t>$1400</w:t>
            </w:r>
          </w:p>
        </w:tc>
        <w:tc>
          <w:tcPr>
            <w:tcW w:type="dxa" w:w="1206"/>
          </w:tcPr>
          <w:p>
            <w:r>
              <w:t>250,000 tests/yr</w:t>
            </w:r>
          </w:p>
        </w:tc>
        <w:tc>
          <w:tcPr>
            <w:tcW w:type="dxa" w:w="1206"/>
          </w:tcPr>
          <w:p>
            <w:r>
              <w:t>0.4</w:t>
            </w:r>
          </w:p>
        </w:tc>
        <w:tc>
          <w:tcPr>
            <w:tcW w:type="dxa" w:w="1206"/>
          </w:tcPr>
          <w:p>
            <w:r>
              <w:t>2.5</w:t>
            </w:r>
          </w:p>
        </w:tc>
        <w:tc>
          <w:tcPr>
            <w:tcW w:type="dxa" w:w="1206"/>
          </w:tcPr>
          <w:p>
            <w:r>
              <w:t>6.0</w:t>
            </w:r>
          </w:p>
        </w:tc>
        <w:tc>
          <w:tcPr>
            <w:tcW w:type="dxa" w:w="1206"/>
          </w:tcPr>
          <w:p>
            <w:r>
              <w:t>12.0</w:t>
            </w:r>
          </w:p>
        </w:tc>
        <w:tc>
          <w:tcPr>
            <w:tcW w:type="dxa" w:w="1206"/>
          </w:tcPr>
          <w:p>
            <w:r>
              <w:t>18.0</w:t>
            </w:r>
          </w:p>
        </w:tc>
      </w:tr>
      <w:tr>
        <w:tc>
          <w:tcPr>
            <w:tcW w:type="dxa" w:w="1206"/>
          </w:tcPr>
          <w:p>
            <w:r>
              <w:t>Post-COVID Autoimmune LDT</w:t>
            </w:r>
          </w:p>
        </w:tc>
        <w:tc>
          <w:tcPr>
            <w:tcW w:type="dxa" w:w="1206"/>
          </w:tcPr>
          <w:p>
            <w:r>
              <w:t>$1500</w:t>
            </w:r>
          </w:p>
        </w:tc>
        <w:tc>
          <w:tcPr>
            <w:tcW w:type="dxa" w:w="1206"/>
          </w:tcPr>
          <w:p>
            <w:r>
              <w:t>80,000 tests/yr</w:t>
            </w:r>
          </w:p>
        </w:tc>
        <w:tc>
          <w:tcPr>
            <w:tcW w:type="dxa" w:w="1206"/>
          </w:tcPr>
          <w:p>
            <w:r>
              <w:t>0.2</w:t>
            </w:r>
          </w:p>
        </w:tc>
        <w:tc>
          <w:tcPr>
            <w:tcW w:type="dxa" w:w="1206"/>
          </w:tcPr>
          <w:p>
            <w:r>
              <w:t>1.0</w:t>
            </w:r>
          </w:p>
        </w:tc>
        <w:tc>
          <w:tcPr>
            <w:tcW w:type="dxa" w:w="1206"/>
          </w:tcPr>
          <w:p>
            <w:r>
              <w:t>2.0</w:t>
            </w:r>
          </w:p>
        </w:tc>
        <w:tc>
          <w:tcPr>
            <w:tcW w:type="dxa" w:w="1206"/>
          </w:tcPr>
          <w:p>
            <w:r>
              <w:t>4.0</w:t>
            </w:r>
          </w:p>
        </w:tc>
        <w:tc>
          <w:tcPr>
            <w:tcW w:type="dxa" w:w="1206"/>
          </w:tcPr>
          <w:p>
            <w:r>
              <w:t>6.0</w:t>
            </w:r>
          </w:p>
        </w:tc>
      </w:tr>
      <w:tr>
        <w:tc>
          <w:tcPr>
            <w:tcW w:type="dxa" w:w="1206"/>
          </w:tcPr>
          <w:p>
            <w:r>
              <w:t>AD/Neuro Blood-based Biomarker</w:t>
            </w:r>
          </w:p>
        </w:tc>
        <w:tc>
          <w:tcPr>
            <w:tcW w:type="dxa" w:w="1206"/>
          </w:tcPr>
          <w:p>
            <w:r>
              <w:t>$1100</w:t>
            </w:r>
          </w:p>
        </w:tc>
        <w:tc>
          <w:tcPr>
            <w:tcW w:type="dxa" w:w="1206"/>
          </w:tcPr>
          <w:p>
            <w:r>
              <w:t>250,000 tests/yr</w:t>
            </w:r>
          </w:p>
        </w:tc>
        <w:tc>
          <w:tcPr>
            <w:tcW w:type="dxa" w:w="1206"/>
          </w:tcPr>
          <w:p>
            <w:r>
              <w:t>0.0</w:t>
            </w:r>
          </w:p>
        </w:tc>
        <w:tc>
          <w:tcPr>
            <w:tcW w:type="dxa" w:w="1206"/>
          </w:tcPr>
          <w:p>
            <w:r>
              <w:t>0.0</w:t>
            </w:r>
          </w:p>
        </w:tc>
        <w:tc>
          <w:tcPr>
            <w:tcW w:type="dxa" w:w="1206"/>
          </w:tcPr>
          <w:p>
            <w:r>
              <w:t>1.5</w:t>
            </w:r>
          </w:p>
        </w:tc>
        <w:tc>
          <w:tcPr>
            <w:tcW w:type="dxa" w:w="1206"/>
          </w:tcPr>
          <w:p>
            <w:r>
              <w:t>4.0</w:t>
            </w:r>
          </w:p>
        </w:tc>
        <w:tc>
          <w:tcPr>
            <w:tcW w:type="dxa" w:w="1206"/>
          </w:tcPr>
          <w:p>
            <w:r>
              <w:t>9.0</w:t>
            </w:r>
          </w:p>
        </w:tc>
      </w:tr>
      <w:tr>
        <w:tc>
          <w:tcPr>
            <w:tcW w:type="dxa" w:w="1206"/>
          </w:tcPr>
          <w:p>
            <w:r>
              <w:t>IBD JAK/IL-23 Stratification</w:t>
            </w:r>
          </w:p>
        </w:tc>
        <w:tc>
          <w:tcPr>
            <w:tcW w:type="dxa" w:w="1206"/>
          </w:tcPr>
          <w:p>
            <w:r>
              <w:t>$1300</w:t>
            </w:r>
          </w:p>
        </w:tc>
        <w:tc>
          <w:tcPr>
            <w:tcW w:type="dxa" w:w="1206"/>
          </w:tcPr>
          <w:p>
            <w:r>
              <w:t>100,000 tests/yr</w:t>
            </w:r>
          </w:p>
        </w:tc>
        <w:tc>
          <w:tcPr>
            <w:tcW w:type="dxa" w:w="1206"/>
          </w:tcPr>
          <w:p>
            <w:r>
              <w:t>0.1</w:t>
            </w:r>
          </w:p>
        </w:tc>
        <w:tc>
          <w:tcPr>
            <w:tcW w:type="dxa" w:w="1206"/>
          </w:tcPr>
          <w:p>
            <w:r>
              <w:t>0.5</w:t>
            </w:r>
          </w:p>
        </w:tc>
        <w:tc>
          <w:tcPr>
            <w:tcW w:type="dxa" w:w="1206"/>
          </w:tcPr>
          <w:p>
            <w:r>
              <w:t>1.5</w:t>
            </w:r>
          </w:p>
        </w:tc>
        <w:tc>
          <w:tcPr>
            <w:tcW w:type="dxa" w:w="1206"/>
          </w:tcPr>
          <w:p>
            <w:r>
              <w:t>3.5</w:t>
            </w:r>
          </w:p>
        </w:tc>
        <w:tc>
          <w:tcPr>
            <w:tcW w:type="dxa" w:w="1206"/>
          </w:tcPr>
          <w:p>
            <w:r>
              <w:t>7.0</w:t>
            </w:r>
          </w:p>
        </w:tc>
      </w:tr>
      <w:tr>
        <w:tc>
          <w:tcPr>
            <w:tcW w:type="dxa" w:w="1206"/>
          </w:tcPr>
          <w:p>
            <w:r>
              <w:t>AMR Stewardship Decision Support</w:t>
            </w:r>
          </w:p>
        </w:tc>
        <w:tc>
          <w:tcPr>
            <w:tcW w:type="dxa" w:w="1206"/>
          </w:tcPr>
          <w:p>
            <w:r>
              <w:t>Subscription</w:t>
            </w:r>
          </w:p>
        </w:tc>
        <w:tc>
          <w:tcPr>
            <w:tcW w:type="dxa" w:w="1206"/>
          </w:tcPr>
          <w:p>
            <w:r>
              <w:t>250 hospitals</w:t>
            </w:r>
          </w:p>
        </w:tc>
        <w:tc>
          <w:tcPr>
            <w:tcW w:type="dxa" w:w="1206"/>
          </w:tcPr>
          <w:p>
            <w:r>
              <w:t>0.2</w:t>
            </w:r>
          </w:p>
        </w:tc>
        <w:tc>
          <w:tcPr>
            <w:tcW w:type="dxa" w:w="1206"/>
          </w:tcPr>
          <w:p>
            <w:r>
              <w:t>0.8</w:t>
            </w:r>
          </w:p>
        </w:tc>
        <w:tc>
          <w:tcPr>
            <w:tcW w:type="dxa" w:w="1206"/>
          </w:tcPr>
          <w:p>
            <w:r>
              <w:t>2.0</w:t>
            </w:r>
          </w:p>
        </w:tc>
        <w:tc>
          <w:tcPr>
            <w:tcW w:type="dxa" w:w="1206"/>
          </w:tcPr>
          <w:p>
            <w:r>
              <w:t>4.0</w:t>
            </w:r>
          </w:p>
        </w:tc>
        <w:tc>
          <w:tcPr>
            <w:tcW w:type="dxa" w:w="1206"/>
          </w:tcPr>
          <w:p>
            <w:r>
              <w:t>6.0</w:t>
            </w:r>
          </w:p>
        </w:tc>
      </w:tr>
      <w:tr>
        <w:tc>
          <w:tcPr>
            <w:tcW w:type="dxa" w:w="1206"/>
          </w:tcPr>
          <w:p>
            <w:r>
              <w:rPr>
                <w:b/>
              </w:rPr>
              <w:t>TOTAL LDT revenue ($M, base)</w:t>
            </w:r>
          </w:p>
        </w:tc>
        <w:tc>
          <w:tcPr>
            <w:tcW w:type="dxa" w:w="1206"/>
          </w:tcPr>
          <w:p/>
        </w:tc>
        <w:tc>
          <w:tcPr>
            <w:tcW w:type="dxa" w:w="1206"/>
          </w:tcPr>
          <w:p/>
        </w:tc>
        <w:tc>
          <w:tcPr>
            <w:tcW w:type="dxa" w:w="1206"/>
          </w:tcPr>
          <w:p>
            <w:r>
              <w:rPr>
                <w:b/>
              </w:rPr>
              <w:t>2.4</w:t>
            </w:r>
          </w:p>
        </w:tc>
        <w:tc>
          <w:tcPr>
            <w:tcW w:type="dxa" w:w="1206"/>
          </w:tcPr>
          <w:p>
            <w:r>
              <w:rPr>
                <w:b/>
              </w:rPr>
              <w:t>13.3</w:t>
            </w:r>
          </w:p>
        </w:tc>
        <w:tc>
          <w:tcPr>
            <w:tcW w:type="dxa" w:w="1206"/>
          </w:tcPr>
          <w:p>
            <w:r>
              <w:rPr>
                <w:b/>
              </w:rPr>
              <w:t>33.0</w:t>
            </w:r>
          </w:p>
        </w:tc>
        <w:tc>
          <w:tcPr>
            <w:tcW w:type="dxa" w:w="1206"/>
          </w:tcPr>
          <w:p>
            <w:r>
              <w:rPr>
                <w:b/>
              </w:rPr>
              <w:t>62.0</w:t>
            </w:r>
          </w:p>
        </w:tc>
        <w:tc>
          <w:tcPr>
            <w:tcW w:type="dxa" w:w="1206"/>
          </w:tcPr>
          <w:p>
            <w:r>
              <w:rPr>
                <w:b/>
              </w:rPr>
              <w:t>95.0</w:t>
            </w:r>
          </w:p>
        </w:tc>
      </w:tr>
    </w:tbl>
    <w:p>
      <w:r>
        <w:rPr>
          <w:b w:val="0"/>
          <w:i/>
          <w:color w:val="666666"/>
          <w:sz w:val="20"/>
        </w:rPr>
        <w:t>Reimbursement assumption: CLIA-only — no payor coverage assumed for non-CDx tests. CMS Local Coverage Determination pricing variability across MAC jurisdictions is averaged across the ten LDT lines. FDA VALID Act enforcement risk is bounded — even under full premarket-review interpretation, only three of the ten LDT lines would require a 510(k) submission.</w:t>
      </w:r>
    </w:p>
    <w:p>
      <w:r>
        <w:rPr>
          <w:b/>
          <w:color w:val="1A1A1A"/>
          <w:sz w:val="26"/>
        </w:rPr>
        <w:t>Stream 5 · Consumer Wellness Subscription</w:t>
      </w:r>
    </w:p>
    <w:p>
      <w:r>
        <w:rPr>
          <w:b w:val="0"/>
          <w:i w:val="0"/>
          <w:color w:val="222222"/>
          <w:sz w:val="22"/>
        </w:rPr>
        <w:t>DTC plus B2B2C clinic plus concierge consumer wellness. Total Year-5 base: $37.5M revenue at 72% gross margin. Requires approximately $5M Y3 ramping to $15M Y5 of consumer-channel sales and marketing (DTC paid acquisition plus clinic business development).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1206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206"/>
          </w:tcPr>
          <w:p>
            <w:r>
              <w:rPr>
                <w:b/>
              </w:rPr>
              <w:t>Y5 units</w:t>
            </w:r>
          </w:p>
        </w:tc>
        <w:tc>
          <w:tcPr>
            <w:tcW w:type="dxa" w:w="1206"/>
          </w:tcPr>
          <w:p>
            <w:r>
              <w:rPr>
                <w:b/>
              </w:rPr>
              <w:t>2026</w:t>
            </w:r>
          </w:p>
        </w:tc>
        <w:tc>
          <w:tcPr>
            <w:tcW w:type="dxa" w:w="1206"/>
          </w:tcPr>
          <w:p>
            <w:r>
              <w:rPr>
                <w:b/>
              </w:rPr>
              <w:t>2027</w:t>
            </w:r>
          </w:p>
        </w:tc>
        <w:tc>
          <w:tcPr>
            <w:tcW w:type="dxa" w:w="1206"/>
          </w:tcPr>
          <w:p>
            <w:r>
              <w:rPr>
                <w:b/>
              </w:rPr>
              <w:t>2028</w:t>
            </w:r>
          </w:p>
        </w:tc>
        <w:tc>
          <w:tcPr>
            <w:tcW w:type="dxa" w:w="1206"/>
          </w:tcPr>
          <w:p>
            <w:r>
              <w:rPr>
                <w:b/>
              </w:rPr>
              <w:t>2029</w:t>
            </w:r>
          </w:p>
        </w:tc>
        <w:tc>
          <w:tcPr>
            <w:tcW w:type="dxa" w:w="1206"/>
          </w:tcPr>
          <w:p>
            <w:r>
              <w:rPr>
                <w:b/>
              </w:rPr>
              <w:t>2030</w:t>
            </w:r>
          </w:p>
        </w:tc>
      </w:tr>
      <w:tr>
        <w:tc>
          <w:tcPr>
            <w:tcW w:type="dxa" w:w="1206"/>
          </w:tcPr>
          <w:p>
            <w:r>
              <w:t>DTC BiRAGAS Wellness Subscription</w:t>
            </w:r>
          </w:p>
        </w:tc>
        <w:tc>
          <w:tcPr>
            <w:tcW w:type="dxa" w:w="1206"/>
          </w:tcPr>
          <w:p>
            <w:r>
              <w:t>$199/month</w:t>
            </w:r>
          </w:p>
        </w:tc>
        <w:tc>
          <w:tcPr>
            <w:tcW w:type="dxa" w:w="1206"/>
          </w:tcPr>
          <w:p>
            <w:r>
              <w:t>9,200 subscribers</w:t>
            </w:r>
          </w:p>
        </w:tc>
        <w:tc>
          <w:tcPr>
            <w:tcW w:type="dxa" w:w="1206"/>
          </w:tcPr>
          <w:p>
            <w:r>
              <w:t>0.1</w:t>
            </w:r>
          </w:p>
        </w:tc>
        <w:tc>
          <w:tcPr>
            <w:tcW w:type="dxa" w:w="1206"/>
          </w:tcPr>
          <w:p>
            <w:r>
              <w:t>1.0</w:t>
            </w:r>
          </w:p>
        </w:tc>
        <w:tc>
          <w:tcPr>
            <w:tcW w:type="dxa" w:w="1206"/>
          </w:tcPr>
          <w:p>
            <w:r>
              <w:t>4.0</w:t>
            </w:r>
          </w:p>
        </w:tc>
        <w:tc>
          <w:tcPr>
            <w:tcW w:type="dxa" w:w="1206"/>
          </w:tcPr>
          <w:p>
            <w:r>
              <w:t>12.0</w:t>
            </w:r>
          </w:p>
        </w:tc>
        <w:tc>
          <w:tcPr>
            <w:tcW w:type="dxa" w:w="1206"/>
          </w:tcPr>
          <w:p>
            <w:r>
              <w:t>22.0</w:t>
            </w:r>
          </w:p>
        </w:tc>
      </w:tr>
      <w:tr>
        <w:tc>
          <w:tcPr>
            <w:tcW w:type="dxa" w:w="1206"/>
          </w:tcPr>
          <w:p>
            <w:r>
              <w:t>Longevity Clinic White-Label (B2B2C)</w:t>
            </w:r>
          </w:p>
        </w:tc>
        <w:tc>
          <w:tcPr>
            <w:tcW w:type="dxa" w:w="1206"/>
          </w:tcPr>
          <w:p>
            <w:r>
              <w:t>$35–55K/yr per clinic</w:t>
            </w:r>
          </w:p>
        </w:tc>
        <w:tc>
          <w:tcPr>
            <w:tcW w:type="dxa" w:w="1206"/>
          </w:tcPr>
          <w:p>
            <w:r>
              <w:t>250 clinics</w:t>
            </w:r>
          </w:p>
        </w:tc>
        <w:tc>
          <w:tcPr>
            <w:tcW w:type="dxa" w:w="1206"/>
          </w:tcPr>
          <w:p>
            <w:r>
              <w:t>0.2</w:t>
            </w:r>
          </w:p>
        </w:tc>
        <w:tc>
          <w:tcPr>
            <w:tcW w:type="dxa" w:w="1206"/>
          </w:tcPr>
          <w:p>
            <w:r>
              <w:t>1.0</w:t>
            </w:r>
          </w:p>
        </w:tc>
        <w:tc>
          <w:tcPr>
            <w:tcW w:type="dxa" w:w="1206"/>
          </w:tcPr>
          <w:p>
            <w:r>
              <w:t>2.5</w:t>
            </w:r>
          </w:p>
        </w:tc>
        <w:tc>
          <w:tcPr>
            <w:tcW w:type="dxa" w:w="1206"/>
          </w:tcPr>
          <w:p>
            <w:r>
              <w:t>7.0</w:t>
            </w:r>
          </w:p>
        </w:tc>
        <w:tc>
          <w:tcPr>
            <w:tcW w:type="dxa" w:w="1206"/>
          </w:tcPr>
          <w:p>
            <w:r>
              <w:t>11.0</w:t>
            </w:r>
          </w:p>
        </w:tc>
      </w:tr>
      <w:tr>
        <w:tc>
          <w:tcPr>
            <w:tcW w:type="dxa" w:w="1206"/>
          </w:tcPr>
          <w:p>
            <w:r>
              <w:t>Wellness Brand API / Embedded SaaS</w:t>
            </w:r>
          </w:p>
        </w:tc>
        <w:tc>
          <w:tcPr>
            <w:tcW w:type="dxa" w:w="1206"/>
          </w:tcPr>
          <w:p>
            <w:r>
              <w:t>Token-based pricing</w:t>
            </w:r>
          </w:p>
        </w:tc>
        <w:tc>
          <w:tcPr>
            <w:tcW w:type="dxa" w:w="1206"/>
          </w:tcPr>
          <w:p>
            <w:r>
              <w:t>10 partner brands</w:t>
            </w:r>
          </w:p>
        </w:tc>
        <w:tc>
          <w:tcPr>
            <w:tcW w:type="dxa" w:w="1206"/>
          </w:tcPr>
          <w:p>
            <w:r>
              <w:t>0.0</w:t>
            </w:r>
          </w:p>
        </w:tc>
        <w:tc>
          <w:tcPr>
            <w:tcW w:type="dxa" w:w="1206"/>
          </w:tcPr>
          <w:p>
            <w:r>
              <w:t>0.3</w:t>
            </w:r>
          </w:p>
        </w:tc>
        <w:tc>
          <w:tcPr>
            <w:tcW w:type="dxa" w:w="1206"/>
          </w:tcPr>
          <w:p>
            <w:r>
              <w:t>1.0</w:t>
            </w:r>
          </w:p>
        </w:tc>
        <w:tc>
          <w:tcPr>
            <w:tcW w:type="dxa" w:w="1206"/>
          </w:tcPr>
          <w:p>
            <w:r>
              <w:t>3.0</w:t>
            </w:r>
          </w:p>
        </w:tc>
        <w:tc>
          <w:tcPr>
            <w:tcW w:type="dxa" w:w="1206"/>
          </w:tcPr>
          <w:p>
            <w:r>
              <w:t>5.0</w:t>
            </w:r>
          </w:p>
        </w:tc>
      </w:tr>
      <w:tr>
        <w:tc>
          <w:tcPr>
            <w:tcW w:type="dxa" w:w="1206"/>
          </w:tcPr>
          <w:p>
            <w:r>
              <w:t>HNW Concierge Program</w:t>
            </w:r>
          </w:p>
        </w:tc>
        <w:tc>
          <w:tcPr>
            <w:tcW w:type="dxa" w:w="1206"/>
          </w:tcPr>
          <w:p>
            <w:r>
              <w:t>$50K/yr per client</w:t>
            </w:r>
          </w:p>
        </w:tc>
        <w:tc>
          <w:tcPr>
            <w:tcW w:type="dxa" w:w="1206"/>
          </w:tcPr>
          <w:p>
            <w:r>
              <w:t>80 HNW clients</w:t>
            </w:r>
          </w:p>
        </w:tc>
        <w:tc>
          <w:tcPr>
            <w:tcW w:type="dxa" w:w="1206"/>
          </w:tcPr>
          <w:p>
            <w:r>
              <w:t>0.1</w:t>
            </w:r>
          </w:p>
        </w:tc>
        <w:tc>
          <w:tcPr>
            <w:tcW w:type="dxa" w:w="1206"/>
          </w:tcPr>
          <w:p>
            <w:r>
              <w:t>0.5</w:t>
            </w:r>
          </w:p>
        </w:tc>
        <w:tc>
          <w:tcPr>
            <w:tcW w:type="dxa" w:w="1206"/>
          </w:tcPr>
          <w:p>
            <w:r>
              <w:t>1.5</w:t>
            </w:r>
          </w:p>
        </w:tc>
        <w:tc>
          <w:tcPr>
            <w:tcW w:type="dxa" w:w="1206"/>
          </w:tcPr>
          <w:p>
            <w:r>
              <w:t>2.5</w:t>
            </w:r>
          </w:p>
        </w:tc>
        <w:tc>
          <w:tcPr>
            <w:tcW w:type="dxa" w:w="1206"/>
          </w:tcPr>
          <w:p>
            <w:r>
              <w:t>4.0</w:t>
            </w:r>
          </w:p>
        </w:tc>
      </w:tr>
      <w:tr>
        <w:tc>
          <w:tcPr>
            <w:tcW w:type="dxa" w:w="1206"/>
          </w:tcPr>
          <w:p>
            <w:r>
              <w:rPr>
                <w:b/>
              </w:rPr>
              <w:t>TOTAL Consumer Wellness ($M, base)</w:t>
            </w:r>
          </w:p>
        </w:tc>
        <w:tc>
          <w:tcPr>
            <w:tcW w:type="dxa" w:w="1206"/>
          </w:tcPr>
          <w:p/>
        </w:tc>
        <w:tc>
          <w:tcPr>
            <w:tcW w:type="dxa" w:w="1206"/>
          </w:tcPr>
          <w:p/>
        </w:tc>
        <w:tc>
          <w:tcPr>
            <w:tcW w:type="dxa" w:w="1206"/>
          </w:tcPr>
          <w:p>
            <w:r>
              <w:rPr>
                <w:b/>
              </w:rPr>
              <w:t>0.4</w:t>
            </w:r>
          </w:p>
        </w:tc>
        <w:tc>
          <w:tcPr>
            <w:tcW w:type="dxa" w:w="1206"/>
          </w:tcPr>
          <w:p>
            <w:r>
              <w:rPr>
                <w:b/>
              </w:rPr>
              <w:t>2.8</w:t>
            </w:r>
          </w:p>
        </w:tc>
        <w:tc>
          <w:tcPr>
            <w:tcW w:type="dxa" w:w="1206"/>
          </w:tcPr>
          <w:p>
            <w:r>
              <w:rPr>
                <w:b/>
              </w:rPr>
              <w:t>9.0</w:t>
            </w:r>
          </w:p>
        </w:tc>
        <w:tc>
          <w:tcPr>
            <w:tcW w:type="dxa" w:w="1206"/>
          </w:tcPr>
          <w:p>
            <w:r>
              <w:rPr>
                <w:b/>
              </w:rPr>
              <w:t>24.5</w:t>
            </w:r>
          </w:p>
        </w:tc>
        <w:tc>
          <w:tcPr>
            <w:tcW w:type="dxa" w:w="1206"/>
          </w:tcPr>
          <w:p>
            <w:r>
              <w:rPr>
                <w:b/>
              </w:rPr>
              <w:t>42.0</w:t>
            </w:r>
          </w:p>
        </w:tc>
      </w:tr>
    </w:tbl>
    <w:p/>
    <w:p>
      <w:r>
        <w:rPr>
          <w:b/>
          <w:color w:val="C8102E"/>
          <w:sz w:val="26"/>
        </w:rPr>
        <w:t>5-Year Projections — Base / Bull / Bear</w:t>
      </w:r>
    </w:p>
    <w:p>
      <w:r>
        <w:rPr>
          <w:b/>
          <w:color w:val="1A1A1A"/>
          <w:sz w:val="26"/>
        </w:rPr>
        <w:t>Base case ($M)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  <w:t>Line item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2026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2027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2028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2029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2030</w:t>
            </w:r>
          </w:p>
        </w:tc>
      </w:tr>
      <w:tr>
        <w:tc>
          <w:tcPr>
            <w:tcW w:type="dxa" w:w="1608"/>
          </w:tcPr>
          <w:p>
            <w:r>
              <w:t>SaaS revenue</w:t>
            </w:r>
          </w:p>
        </w:tc>
        <w:tc>
          <w:tcPr>
            <w:tcW w:type="dxa" w:w="1608"/>
          </w:tcPr>
          <w:p>
            <w:r>
              <w:t>21.4</w:t>
            </w:r>
          </w:p>
        </w:tc>
        <w:tc>
          <w:tcPr>
            <w:tcW w:type="dxa" w:w="1608"/>
          </w:tcPr>
          <w:p>
            <w:r>
              <w:t>52.8</w:t>
            </w:r>
          </w:p>
        </w:tc>
        <w:tc>
          <w:tcPr>
            <w:tcW w:type="dxa" w:w="1608"/>
          </w:tcPr>
          <w:p>
            <w:r>
              <w:t>105.5</w:t>
            </w:r>
          </w:p>
        </w:tc>
        <w:tc>
          <w:tcPr>
            <w:tcW w:type="dxa" w:w="1608"/>
          </w:tcPr>
          <w:p>
            <w:r>
              <w:t>165.8</w:t>
            </w:r>
          </w:p>
        </w:tc>
        <w:tc>
          <w:tcPr>
            <w:tcW w:type="dxa" w:w="1608"/>
          </w:tcPr>
          <w:p>
            <w:r>
              <w:t>250.0</w:t>
            </w:r>
          </w:p>
        </w:tc>
      </w:tr>
      <w:tr>
        <w:tc>
          <w:tcPr>
            <w:tcW w:type="dxa" w:w="1608"/>
          </w:tcPr>
          <w:p>
            <w:r>
              <w:t>Co-dev revenue</w:t>
            </w:r>
          </w:p>
        </w:tc>
        <w:tc>
          <w:tcPr>
            <w:tcW w:type="dxa" w:w="1608"/>
          </w:tcPr>
          <w:p>
            <w:r>
              <w:t>5.0</w:t>
            </w:r>
          </w:p>
        </w:tc>
        <w:tc>
          <w:tcPr>
            <w:tcW w:type="dxa" w:w="1608"/>
          </w:tcPr>
          <w:p>
            <w:r>
              <w:t>23.0</w:t>
            </w:r>
          </w:p>
        </w:tc>
        <w:tc>
          <w:tcPr>
            <w:tcW w:type="dxa" w:w="1608"/>
          </w:tcPr>
          <w:p>
            <w:r>
              <w:t>61.0</w:t>
            </w:r>
          </w:p>
        </w:tc>
        <w:tc>
          <w:tcPr>
            <w:tcW w:type="dxa" w:w="1608"/>
          </w:tcPr>
          <w:p>
            <w:r>
              <w:t>129.0</w:t>
            </w:r>
          </w:p>
        </w:tc>
        <w:tc>
          <w:tcPr>
            <w:tcW w:type="dxa" w:w="1608"/>
          </w:tcPr>
          <w:p>
            <w:r>
              <w:t>215.0</w:t>
            </w:r>
          </w:p>
        </w:tc>
      </w:tr>
      <w:tr>
        <w:tc>
          <w:tcPr>
            <w:tcW w:type="dxa" w:w="1608"/>
          </w:tcPr>
          <w:p>
            <w:r>
              <w:t>CDx royalty revenue</w:t>
            </w:r>
          </w:p>
        </w:tc>
        <w:tc>
          <w:tcPr>
            <w:tcW w:type="dxa" w:w="1608"/>
          </w:tcPr>
          <w:p>
            <w:r>
              <w:t>0.0</w:t>
            </w:r>
          </w:p>
        </w:tc>
        <w:tc>
          <w:tcPr>
            <w:tcW w:type="dxa" w:w="1608"/>
          </w:tcPr>
          <w:p>
            <w:r>
              <w:t>0.0</w:t>
            </w:r>
          </w:p>
        </w:tc>
        <w:tc>
          <w:tcPr>
            <w:tcW w:type="dxa" w:w="1608"/>
          </w:tcPr>
          <w:p>
            <w:r>
              <w:t>1.2</w:t>
            </w:r>
          </w:p>
        </w:tc>
        <w:tc>
          <w:tcPr>
            <w:tcW w:type="dxa" w:w="1608"/>
          </w:tcPr>
          <w:p>
            <w:r>
              <w:t>6.0</w:t>
            </w:r>
          </w:p>
        </w:tc>
        <w:tc>
          <w:tcPr>
            <w:tcW w:type="dxa" w:w="1608"/>
          </w:tcPr>
          <w:p>
            <w:r>
              <w:t>16.8</w:t>
            </w:r>
          </w:p>
        </w:tc>
      </w:tr>
      <w:tr>
        <w:tc>
          <w:tcPr>
            <w:tcW w:type="dxa" w:w="1608"/>
          </w:tcPr>
          <w:p>
            <w:r>
              <w:t>LDT diagnostic revenue</w:t>
            </w:r>
          </w:p>
        </w:tc>
        <w:tc>
          <w:tcPr>
            <w:tcW w:type="dxa" w:w="1608"/>
          </w:tcPr>
          <w:p>
            <w:r>
              <w:t>2.4</w:t>
            </w:r>
          </w:p>
        </w:tc>
        <w:tc>
          <w:tcPr>
            <w:tcW w:type="dxa" w:w="1608"/>
          </w:tcPr>
          <w:p>
            <w:r>
              <w:t>14.0</w:t>
            </w:r>
          </w:p>
        </w:tc>
        <w:tc>
          <w:tcPr>
            <w:tcW w:type="dxa" w:w="1608"/>
          </w:tcPr>
          <w:p>
            <w:r>
              <w:t>32.0</w:t>
            </w:r>
          </w:p>
        </w:tc>
        <w:tc>
          <w:tcPr>
            <w:tcW w:type="dxa" w:w="1608"/>
          </w:tcPr>
          <w:p>
            <w:r>
              <w:t>64.5</w:t>
            </w:r>
          </w:p>
        </w:tc>
        <w:tc>
          <w:tcPr>
            <w:tcW w:type="dxa" w:w="1608"/>
          </w:tcPr>
          <w:p>
            <w:r>
              <w:t>99.5</w:t>
            </w:r>
          </w:p>
        </w:tc>
      </w:tr>
      <w:tr>
        <w:tc>
          <w:tcPr>
            <w:tcW w:type="dxa" w:w="1608"/>
          </w:tcPr>
          <w:p>
            <w:r>
              <w:t>Consumer Wellness revenue</w:t>
            </w:r>
          </w:p>
        </w:tc>
        <w:tc>
          <w:tcPr>
            <w:tcW w:type="dxa" w:w="1608"/>
          </w:tcPr>
          <w:p>
            <w:r>
              <w:t>0.4</w:t>
            </w:r>
          </w:p>
        </w:tc>
        <w:tc>
          <w:tcPr>
            <w:tcW w:type="dxa" w:w="1608"/>
          </w:tcPr>
          <w:p>
            <w:r>
              <w:t>2.1</w:t>
            </w:r>
          </w:p>
        </w:tc>
        <w:tc>
          <w:tcPr>
            <w:tcW w:type="dxa" w:w="1608"/>
          </w:tcPr>
          <w:p>
            <w:r>
              <w:t>9.0</w:t>
            </w:r>
          </w:p>
        </w:tc>
        <w:tc>
          <w:tcPr>
            <w:tcW w:type="dxa" w:w="1608"/>
          </w:tcPr>
          <w:p>
            <w:r>
              <w:t>22.1</w:t>
            </w:r>
          </w:p>
        </w:tc>
        <w:tc>
          <w:tcPr>
            <w:tcW w:type="dxa" w:w="1608"/>
          </w:tcPr>
          <w:p>
            <w:r>
              <w:t>37.5</w:t>
            </w:r>
          </w:p>
        </w:tc>
      </w:tr>
      <w:tr>
        <w:tc>
          <w:tcPr>
            <w:tcW w:type="dxa" w:w="1608"/>
          </w:tcPr>
          <w:p>
            <w:r>
              <w:rPr>
                <w:b/>
              </w:rPr>
              <w:t>Total revenue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29.2</w:t>
            </w:r>
          </w:p>
        </w:tc>
        <w:tc>
          <w:tcPr>
            <w:tcW w:type="dxa" w:w="1608"/>
          </w:tcPr>
          <w:p>
            <w:r>
              <w:rPr>
                <w:b/>
              </w:rPr>
              <w:t>91.9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209.7</w:t>
            </w:r>
          </w:p>
        </w:tc>
        <w:tc>
          <w:tcPr>
            <w:tcW w:type="dxa" w:w="1608"/>
          </w:tcPr>
          <w:p>
            <w:r>
              <w:rPr>
                <w:b/>
              </w:rPr>
              <w:t>387.4</w:t>
            </w:r>
          </w:p>
        </w:tc>
        <w:tc>
          <w:tcPr>
            <w:tcW w:type="dxa" w:w="1608"/>
          </w:tcPr>
          <w:p>
            <w:r>
              <w:rPr>
                <w:b/>
              </w:rPr>
              <w:t>618.8</w:t>
            </w:r>
          </w:p>
        </w:tc>
      </w:tr>
      <w:tr>
        <w:tc>
          <w:tcPr>
            <w:tcW w:type="dxa" w:w="1608"/>
          </w:tcPr>
          <w:p>
            <w:r>
              <w:t>COGS</w:t>
            </w:r>
          </w:p>
        </w:tc>
        <w:tc>
          <w:tcPr>
            <w:tcW w:type="dxa" w:w="1608"/>
          </w:tcPr>
          <w:p>
            <w:r>
              <w:t>-15.4</w:t>
            </w:r>
          </w:p>
        </w:tc>
        <w:tc>
          <w:tcPr>
            <w:tcW w:type="dxa" w:w="1608"/>
          </w:tcPr>
          <w:p>
            <w:r>
              <w:t>-30.2</w:t>
            </w:r>
          </w:p>
        </w:tc>
        <w:tc>
          <w:tcPr>
            <w:tcW w:type="dxa" w:w="1608"/>
          </w:tcPr>
          <w:p>
            <w:r>
              <w:t>-53.5</w:t>
            </w:r>
          </w:p>
        </w:tc>
        <w:tc>
          <w:tcPr>
            <w:tcW w:type="dxa" w:w="1608"/>
          </w:tcPr>
          <w:p>
            <w:r>
              <w:t>-91.8</w:t>
            </w:r>
          </w:p>
        </w:tc>
        <w:tc>
          <w:tcPr>
            <w:tcW w:type="dxa" w:w="1608"/>
          </w:tcPr>
          <w:p>
            <w:r>
              <w:t>-137.4</w:t>
            </w:r>
          </w:p>
        </w:tc>
      </w:tr>
      <w:tr>
        <w:tc>
          <w:tcPr>
            <w:tcW w:type="dxa" w:w="1608"/>
          </w:tcPr>
          <w:p>
            <w:r>
              <w:rPr>
                <w:b/>
              </w:rPr>
              <w:t>Gross profit</w:t>
            </w:r>
          </w:p>
        </w:tc>
        <w:tc>
          <w:tcPr>
            <w:tcW w:type="dxa" w:w="1608"/>
          </w:tcPr>
          <w:p>
            <w:r>
              <w:rPr>
                <w:b/>
              </w:rPr>
              <w:t>13.8</w:t>
            </w:r>
          </w:p>
        </w:tc>
        <w:tc>
          <w:tcPr>
            <w:tcW w:type="dxa" w:w="1608"/>
          </w:tcPr>
          <w:p>
            <w:r>
              <w:rPr>
                <w:b/>
              </w:rPr>
              <w:t>61.7</w:t>
            </w:r>
          </w:p>
        </w:tc>
        <w:tc>
          <w:tcPr>
            <w:tcW w:type="dxa" w:w="1608"/>
          </w:tcPr>
          <w:p>
            <w:r>
              <w:rPr>
                <w:b/>
              </w:rPr>
              <w:t>156.2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295.5</w:t>
            </w:r>
          </w:p>
        </w:tc>
        <w:tc>
          <w:tcPr>
            <w:tcW w:type="dxa" w:w="1608"/>
          </w:tcPr>
          <w:p>
            <w:r>
              <w:rPr>
                <w:b/>
              </w:rPr>
              <w:t>481.4</w:t>
            </w:r>
          </w:p>
        </w:tc>
      </w:tr>
      <w:tr>
        <w:tc>
          <w:tcPr>
            <w:tcW w:type="dxa" w:w="1608"/>
          </w:tcPr>
          <w:p>
            <w:r>
              <w:t>Gross margin %</w:t>
            </w:r>
          </w:p>
        </w:tc>
        <w:tc>
          <w:tcPr>
            <w:tcW w:type="dxa" w:w="1608"/>
          </w:tcPr>
          <w:p>
            <w:r>
              <w:t>47.2</w:t>
            </w:r>
          </w:p>
        </w:tc>
        <w:tc>
          <w:tcPr>
            <w:tcW w:type="dxa" w:w="1608"/>
          </w:tcPr>
          <w:p>
            <w:r>
              <w:t>67.1</w:t>
            </w:r>
          </w:p>
        </w:tc>
        <w:tc>
          <w:tcPr>
            <w:tcW w:type="dxa" w:w="1608"/>
          </w:tcPr>
          <w:p>
            <w:r>
              <w:t>74.5</w:t>
            </w:r>
          </w:p>
        </w:tc>
        <w:tc>
          <w:tcPr>
            <w:tcW w:type="dxa" w:w="1608"/>
          </w:tcPr>
          <w:p>
            <w:r>
              <w:t>76.3</w:t>
            </w:r>
          </w:p>
        </w:tc>
        <w:tc>
          <w:tcPr>
            <w:tcW w:type="dxa" w:w="1608"/>
          </w:tcPr>
          <w:p>
            <w:r>
              <w:t>77.8</w:t>
            </w:r>
          </w:p>
        </w:tc>
      </w:tr>
      <w:tr>
        <w:tc>
          <w:tcPr>
            <w:tcW w:type="dxa" w:w="1608"/>
          </w:tcPr>
          <w:p>
            <w:r>
              <w:t>Engineering &amp; infrastructure</w:t>
            </w:r>
          </w:p>
        </w:tc>
        <w:tc>
          <w:tcPr>
            <w:tcW w:type="dxa" w:w="1608"/>
          </w:tcPr>
          <w:p>
            <w:r>
              <w:t>-9.9</w:t>
            </w:r>
          </w:p>
        </w:tc>
        <w:tc>
          <w:tcPr>
            <w:tcW w:type="dxa" w:w="1608"/>
          </w:tcPr>
          <w:p>
            <w:r>
              <w:t>-22.0</w:t>
            </w:r>
          </w:p>
        </w:tc>
        <w:tc>
          <w:tcPr>
            <w:tcW w:type="dxa" w:w="1608"/>
          </w:tcPr>
          <w:p>
            <w:r>
              <w:t>-42.3</w:t>
            </w:r>
          </w:p>
        </w:tc>
        <w:tc>
          <w:tcPr>
            <w:tcW w:type="dxa" w:w="1608"/>
          </w:tcPr>
          <w:p>
            <w:r>
              <w:t>-68.4</w:t>
            </w:r>
          </w:p>
        </w:tc>
        <w:tc>
          <w:tcPr>
            <w:tcW w:type="dxa" w:w="1608"/>
          </w:tcPr>
          <w:p>
            <w:r>
              <w:t>-93.4</w:t>
            </w:r>
          </w:p>
        </w:tc>
      </w:tr>
      <w:tr>
        <w:tc>
          <w:tcPr>
            <w:tcW w:type="dxa" w:w="1608"/>
          </w:tcPr>
          <w:p>
            <w:r>
              <w:t>Sales &amp; marketing</w:t>
            </w:r>
          </w:p>
        </w:tc>
        <w:tc>
          <w:tcPr>
            <w:tcW w:type="dxa" w:w="1608"/>
          </w:tcPr>
          <w:p>
            <w:r>
              <w:t>-7.3</w:t>
            </w:r>
          </w:p>
        </w:tc>
        <w:tc>
          <w:tcPr>
            <w:tcW w:type="dxa" w:w="1608"/>
          </w:tcPr>
          <w:p>
            <w:r>
              <w:t>-16.6</w:t>
            </w:r>
          </w:p>
        </w:tc>
        <w:tc>
          <w:tcPr>
            <w:tcW w:type="dxa" w:w="1608"/>
          </w:tcPr>
          <w:p>
            <w:r>
              <w:t>-32.5</w:t>
            </w:r>
          </w:p>
        </w:tc>
        <w:tc>
          <w:tcPr>
            <w:tcW w:type="dxa" w:w="1608"/>
          </w:tcPr>
          <w:p>
            <w:r>
              <w:t>-52.3</w:t>
            </w:r>
          </w:p>
        </w:tc>
        <w:tc>
          <w:tcPr>
            <w:tcW w:type="dxa" w:w="1608"/>
          </w:tcPr>
          <w:p>
            <w:r>
              <w:t>-79.8</w:t>
            </w:r>
          </w:p>
        </w:tc>
      </w:tr>
      <w:tr>
        <w:tc>
          <w:tcPr>
            <w:tcW w:type="dxa" w:w="1608"/>
          </w:tcPr>
          <w:p>
            <w:r>
              <w:t>R&amp;D / new modules</w:t>
            </w:r>
          </w:p>
        </w:tc>
        <w:tc>
          <w:tcPr>
            <w:tcW w:type="dxa" w:w="1608"/>
          </w:tcPr>
          <w:p>
            <w:r>
              <w:t>-3.6</w:t>
            </w:r>
          </w:p>
        </w:tc>
        <w:tc>
          <w:tcPr>
            <w:tcW w:type="dxa" w:w="1608"/>
          </w:tcPr>
          <w:p>
            <w:r>
              <w:t>-7.7</w:t>
            </w:r>
          </w:p>
        </w:tc>
        <w:tc>
          <w:tcPr>
            <w:tcW w:type="dxa" w:w="1608"/>
          </w:tcPr>
          <w:p>
            <w:r>
              <w:t>-16.0</w:t>
            </w:r>
          </w:p>
        </w:tc>
        <w:tc>
          <w:tcPr>
            <w:tcW w:type="dxa" w:w="1608"/>
          </w:tcPr>
          <w:p>
            <w:r>
              <w:t>-25.6</w:t>
            </w:r>
          </w:p>
        </w:tc>
        <w:tc>
          <w:tcPr>
            <w:tcW w:type="dxa" w:w="1608"/>
          </w:tcPr>
          <w:p>
            <w:r>
              <w:t>-36.5</w:t>
            </w:r>
          </w:p>
        </w:tc>
      </w:tr>
      <w:tr>
        <w:tc>
          <w:tcPr>
            <w:tcW w:type="dxa" w:w="1608"/>
          </w:tcPr>
          <w:p>
            <w:r>
              <w:t>G&amp;A</w:t>
            </w:r>
          </w:p>
        </w:tc>
        <w:tc>
          <w:tcPr>
            <w:tcW w:type="dxa" w:w="1608"/>
          </w:tcPr>
          <w:p>
            <w:r>
              <w:t>-2.0</w:t>
            </w:r>
          </w:p>
        </w:tc>
        <w:tc>
          <w:tcPr>
            <w:tcW w:type="dxa" w:w="1608"/>
          </w:tcPr>
          <w:p>
            <w:r>
              <w:t>-4.0</w:t>
            </w:r>
          </w:p>
        </w:tc>
        <w:tc>
          <w:tcPr>
            <w:tcW w:type="dxa" w:w="1608"/>
          </w:tcPr>
          <w:p>
            <w:r>
              <w:t>-10.9</w:t>
            </w:r>
          </w:p>
        </w:tc>
        <w:tc>
          <w:tcPr>
            <w:tcW w:type="dxa" w:w="1608"/>
          </w:tcPr>
          <w:p>
            <w:r>
              <w:t>-15.5</w:t>
            </w:r>
          </w:p>
        </w:tc>
        <w:tc>
          <w:tcPr>
            <w:tcW w:type="dxa" w:w="1608"/>
          </w:tcPr>
          <w:p>
            <w:r>
              <w:t>-22.9</w:t>
            </w:r>
          </w:p>
        </w:tc>
      </w:tr>
      <w:tr>
        <w:tc>
          <w:tcPr>
            <w:tcW w:type="dxa" w:w="1608"/>
          </w:tcPr>
          <w:p>
            <w:r>
              <w:rPr>
                <w:b/>
              </w:rPr>
              <w:t>Total operating expense</w:t>
            </w:r>
          </w:p>
        </w:tc>
        <w:tc>
          <w:tcPr>
            <w:tcW w:type="dxa" w:w="1608"/>
          </w:tcPr>
          <w:p>
            <w:r>
              <w:rPr>
                <w:b/>
              </w:rPr>
              <w:t>-22.8</w:t>
            </w:r>
          </w:p>
        </w:tc>
        <w:tc>
          <w:tcPr>
            <w:tcW w:type="dxa" w:w="1608"/>
          </w:tcPr>
          <w:p>
            <w:r>
              <w:rPr>
                <w:b/>
              </w:rPr>
              <w:t>-50.3</w:t>
            </w:r>
          </w:p>
        </w:tc>
        <w:tc>
          <w:tcPr>
            <w:tcW w:type="dxa" w:w="1608"/>
          </w:tcPr>
          <w:p>
            <w:r>
              <w:rPr>
                <w:b/>
              </w:rPr>
              <w:t>-101.7</w:t>
            </w:r>
          </w:p>
        </w:tc>
        <w:tc>
          <w:tcPr>
            <w:tcW w:type="dxa" w:w="1608"/>
          </w:tcPr>
          <w:p>
            <w:r>
              <w:rPr>
                <w:b/>
              </w:rPr>
              <w:t>-161.8</w:t>
            </w:r>
          </w:p>
        </w:tc>
        <w:tc>
          <w:tcPr>
            <w:tcW w:type="dxa" w:w="1608"/>
          </w:tcPr>
          <w:p>
            <w:r>
              <w:rPr>
                <w:b/>
              </w:rPr>
              <w:t>-232.7</w:t>
            </w:r>
          </w:p>
        </w:tc>
      </w:tr>
      <w:tr>
        <w:tc>
          <w:tcPr>
            <w:tcW w:type="dxa" w:w="1608"/>
          </w:tcPr>
          <w:p>
            <w:r>
              <w:rPr>
                <w:b/>
              </w:rPr>
              <w:t>EBITDA</w:t>
            </w:r>
          </w:p>
        </w:tc>
        <w:tc>
          <w:tcPr>
            <w:tcW w:type="dxa" w:w="1608"/>
          </w:tcPr>
          <w:p>
            <w:r>
              <w:rPr>
                <w:b/>
              </w:rPr>
              <w:t>-9.0</w:t>
            </w:r>
          </w:p>
        </w:tc>
        <w:tc>
          <w:tcPr>
            <w:tcW w:type="dxa" w:w="1608"/>
          </w:tcPr>
          <w:p>
            <w:r>
              <w:rPr>
                <w:b/>
              </w:rPr>
              <w:t>11.4</w:t>
            </w:r>
          </w:p>
        </w:tc>
        <w:tc>
          <w:tcPr>
            <w:tcW w:type="dxa" w:w="1608"/>
          </w:tcPr>
          <w:p>
            <w:r>
              <w:rPr>
                <w:b/>
              </w:rPr>
              <w:t>54.5</w:t>
            </w:r>
          </w:p>
        </w:tc>
        <w:tc>
          <w:tcPr>
            <w:tcW w:type="dxa" w:w="1608"/>
          </w:tcPr>
          <w:p>
            <w:r>
              <w:rPr>
                <w:b/>
              </w:rPr>
              <w:t>133.7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248.8</w:t>
            </w:r>
          </w:p>
        </w:tc>
      </w:tr>
      <w:tr>
        <w:tc>
          <w:tcPr>
            <w:tcW w:type="dxa" w:w="1608"/>
          </w:tcPr>
          <w:p>
            <w:r>
              <w:t>EBITDA margin %</w:t>
            </w:r>
          </w:p>
        </w:tc>
        <w:tc>
          <w:tcPr>
            <w:tcW w:type="dxa" w:w="1608"/>
          </w:tcPr>
          <w:p>
            <w:r>
              <w:t>-30.8</w:t>
            </w:r>
          </w:p>
        </w:tc>
        <w:tc>
          <w:tcPr>
            <w:tcW w:type="dxa" w:w="1608"/>
          </w:tcPr>
          <w:p>
            <w:r>
              <w:t>12.4</w:t>
            </w:r>
          </w:p>
        </w:tc>
        <w:tc>
          <w:tcPr>
            <w:tcW w:type="dxa" w:w="1608"/>
          </w:tcPr>
          <w:p>
            <w:r>
              <w:t>26.0</w:t>
            </w:r>
          </w:p>
        </w:tc>
        <w:tc>
          <w:tcPr>
            <w:tcW w:type="dxa" w:w="1608"/>
          </w:tcPr>
          <w:p>
            <w:r>
              <w:t>34.5</w:t>
            </w:r>
          </w:p>
        </w:tc>
        <w:tc>
          <w:tcPr>
            <w:tcW w:type="dxa" w:w="1608"/>
          </w:tcPr>
          <w:p>
            <w:r>
              <w:t>40.2</w:t>
            </w:r>
          </w:p>
        </w:tc>
      </w:tr>
    </w:tbl>
    <w:p>
      <w:r>
        <w:rPr>
          <w:b/>
          <w:color w:val="1A1A1A"/>
          <w:sz w:val="26"/>
        </w:rPr>
        <w:t>Bull case (1.6× customers · 1.8× consumer adoption · improved cost ratios)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2026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2027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2028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2029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2030</w:t>
            </w:r>
          </w:p>
        </w:tc>
      </w:tr>
      <w:tr>
        <w:tc>
          <w:tcPr>
            <w:tcW w:type="dxa" w:w="1608"/>
          </w:tcPr>
          <w:p>
            <w:r>
              <w:t>Total revenue</w:t>
            </w:r>
          </w:p>
        </w:tc>
        <w:tc>
          <w:tcPr>
            <w:tcW w:type="dxa" w:w="1608"/>
          </w:tcPr>
          <w:p>
            <w:r>
              <w:t>47.5</w:t>
            </w:r>
          </w:p>
        </w:tc>
        <w:tc>
          <w:tcPr>
            <w:tcW w:type="dxa" w:w="1608"/>
          </w:tcPr>
          <w:p>
            <w:r>
              <w:t>147.6</w:t>
            </w:r>
          </w:p>
        </w:tc>
        <w:tc>
          <w:tcPr>
            <w:tcW w:type="dxa" w:w="1608"/>
          </w:tcPr>
          <w:p>
            <w:r>
              <w:t>336.9</w:t>
            </w:r>
          </w:p>
        </w:tc>
        <w:tc>
          <w:tcPr>
            <w:tcW w:type="dxa" w:w="1608"/>
          </w:tcPr>
          <w:p>
            <w:r>
              <w:t>624.1</w:t>
            </w:r>
          </w:p>
        </w:tc>
        <w:tc>
          <w:tcPr>
            <w:tcW w:type="dxa" w:w="1608"/>
          </w:tcPr>
          <w:p>
            <w:r>
              <w:t>998.3</w:t>
            </w:r>
          </w:p>
        </w:tc>
      </w:tr>
      <w:tr>
        <w:tc>
          <w:tcPr>
            <w:tcW w:type="dxa" w:w="1608"/>
          </w:tcPr>
          <w:p>
            <w:r>
              <w:t>EBITDA</w:t>
            </w:r>
          </w:p>
        </w:tc>
        <w:tc>
          <w:tcPr>
            <w:tcW w:type="dxa" w:w="1608"/>
          </w:tcPr>
          <w:p>
            <w:r>
              <w:t>-6.1</w:t>
            </w:r>
          </w:p>
        </w:tc>
        <w:tc>
          <w:tcPr>
            <w:tcW w:type="dxa" w:w="1608"/>
          </w:tcPr>
          <w:p>
            <w:r>
              <w:t>32.8</w:t>
            </w:r>
          </w:p>
        </w:tc>
        <w:tc>
          <w:tcPr>
            <w:tcW w:type="dxa" w:w="1608"/>
          </w:tcPr>
          <w:p>
            <w:r>
              <w:t>109.3</w:t>
            </w:r>
          </w:p>
        </w:tc>
        <w:tc>
          <w:tcPr>
            <w:tcW w:type="dxa" w:w="1608"/>
          </w:tcPr>
          <w:p>
            <w:r>
              <w:t>252.8</w:t>
            </w:r>
          </w:p>
        </w:tc>
        <w:tc>
          <w:tcPr>
            <w:tcW w:type="dxa" w:w="1608"/>
          </w:tcPr>
          <w:p>
            <w:r>
              <w:t>441.3</w:t>
            </w:r>
          </w:p>
        </w:tc>
      </w:tr>
      <w:tr>
        <w:tc>
          <w:tcPr>
            <w:tcW w:type="dxa" w:w="1608"/>
          </w:tcPr>
          <w:p>
            <w:r>
              <w:t>EBITDA margin %</w:t>
            </w:r>
          </w:p>
        </w:tc>
        <w:tc>
          <w:tcPr>
            <w:tcW w:type="dxa" w:w="1608"/>
          </w:tcPr>
          <w:p>
            <w:r>
              <w:t>-12.8%</w:t>
            </w:r>
          </w:p>
        </w:tc>
        <w:tc>
          <w:tcPr>
            <w:tcW w:type="dxa" w:w="1608"/>
          </w:tcPr>
          <w:p>
            <w:r>
              <w:t>22.2%</w:t>
            </w:r>
          </w:p>
        </w:tc>
        <w:tc>
          <w:tcPr>
            <w:tcW w:type="dxa" w:w="1608"/>
          </w:tcPr>
          <w:p>
            <w:r>
              <w:t>32.4%</w:t>
            </w:r>
          </w:p>
        </w:tc>
        <w:tc>
          <w:tcPr>
            <w:tcW w:type="dxa" w:w="1608"/>
          </w:tcPr>
          <w:p>
            <w:r>
              <w:t>40.5%</w:t>
            </w:r>
          </w:p>
        </w:tc>
        <w:tc>
          <w:tcPr>
            <w:tcW w:type="dxa" w:w="1608"/>
          </w:tcPr>
          <w:p>
            <w:r>
              <w:t>44.2%</w:t>
            </w:r>
          </w:p>
        </w:tc>
      </w:tr>
    </w:tbl>
    <w:p>
      <w:r>
        <w:rPr>
          <w:b/>
          <w:color w:val="1A1A1A"/>
          <w:sz w:val="26"/>
        </w:rPr>
        <w:t>Bear case (0.55× customers · 0.35× consumer adoption · worse cost ratios)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2026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2027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2028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2029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2030</w:t>
            </w:r>
          </w:p>
        </w:tc>
      </w:tr>
      <w:tr>
        <w:tc>
          <w:tcPr>
            <w:tcW w:type="dxa" w:w="1608"/>
          </w:tcPr>
          <w:p>
            <w:r>
              <w:t>Total revenue</w:t>
            </w:r>
          </w:p>
        </w:tc>
        <w:tc>
          <w:tcPr>
            <w:tcW w:type="dxa" w:w="1608"/>
          </w:tcPr>
          <w:p>
            <w:r>
              <w:t>16.9</w:t>
            </w:r>
          </w:p>
        </w:tc>
        <w:tc>
          <w:tcPr>
            <w:tcW w:type="dxa" w:w="1608"/>
          </w:tcPr>
          <w:p>
            <w:r>
              <w:t>46.7</w:t>
            </w:r>
          </w:p>
        </w:tc>
        <w:tc>
          <w:tcPr>
            <w:tcW w:type="dxa" w:w="1608"/>
          </w:tcPr>
          <w:p>
            <w:r>
              <w:t>107.5</w:t>
            </w:r>
          </w:p>
        </w:tc>
        <w:tc>
          <w:tcPr>
            <w:tcW w:type="dxa" w:w="1608"/>
          </w:tcPr>
          <w:p>
            <w:r>
              <w:t>195.8</w:t>
            </w:r>
          </w:p>
        </w:tc>
        <w:tc>
          <w:tcPr>
            <w:tcW w:type="dxa" w:w="1608"/>
          </w:tcPr>
          <w:p>
            <w:r>
              <w:t>313.6</w:t>
            </w:r>
          </w:p>
        </w:tc>
      </w:tr>
      <w:tr>
        <w:tc>
          <w:tcPr>
            <w:tcW w:type="dxa" w:w="1608"/>
          </w:tcPr>
          <w:p>
            <w:r>
              <w:t>EBITDA</w:t>
            </w:r>
          </w:p>
        </w:tc>
        <w:tc>
          <w:tcPr>
            <w:tcW w:type="dxa" w:w="1608"/>
          </w:tcPr>
          <w:p>
            <w:r>
              <w:t>-4.8</w:t>
            </w:r>
          </w:p>
        </w:tc>
        <w:tc>
          <w:tcPr>
            <w:tcW w:type="dxa" w:w="1608"/>
          </w:tcPr>
          <w:p>
            <w:r>
              <w:t>5.0</w:t>
            </w:r>
          </w:p>
        </w:tc>
        <w:tc>
          <w:tcPr>
            <w:tcW w:type="dxa" w:w="1608"/>
          </w:tcPr>
          <w:p>
            <w:r>
              <w:t>23.6</w:t>
            </w:r>
          </w:p>
        </w:tc>
        <w:tc>
          <w:tcPr>
            <w:tcW w:type="dxa" w:w="1608"/>
          </w:tcPr>
          <w:p>
            <w:r>
              <w:t>60.9</w:t>
            </w:r>
          </w:p>
        </w:tc>
        <w:tc>
          <w:tcPr>
            <w:tcW w:type="dxa" w:w="1608"/>
          </w:tcPr>
          <w:p>
            <w:r>
              <w:t>110.4</w:t>
            </w:r>
          </w:p>
        </w:tc>
      </w:tr>
      <w:tr>
        <w:tc>
          <w:tcPr>
            <w:tcW w:type="dxa" w:w="1608"/>
          </w:tcPr>
          <w:p>
            <w:r>
              <w:t>EBITDA margin %</w:t>
            </w:r>
          </w:p>
        </w:tc>
        <w:tc>
          <w:tcPr>
            <w:tcW w:type="dxa" w:w="1608"/>
          </w:tcPr>
          <w:p>
            <w:r>
              <w:t>-28.2%</w:t>
            </w:r>
          </w:p>
        </w:tc>
        <w:tc>
          <w:tcPr>
            <w:tcW w:type="dxa" w:w="1608"/>
          </w:tcPr>
          <w:p>
            <w:r>
              <w:t>10.8%</w:t>
            </w:r>
          </w:p>
        </w:tc>
        <w:tc>
          <w:tcPr>
            <w:tcW w:type="dxa" w:w="1608"/>
          </w:tcPr>
          <w:p>
            <w:r>
              <w:t>22.0%</w:t>
            </w:r>
          </w:p>
        </w:tc>
        <w:tc>
          <w:tcPr>
            <w:tcW w:type="dxa" w:w="1608"/>
          </w:tcPr>
          <w:p>
            <w:r>
              <w:t>31.1%</w:t>
            </w:r>
          </w:p>
        </w:tc>
        <w:tc>
          <w:tcPr>
            <w:tcW w:type="dxa" w:w="1608"/>
          </w:tcPr>
          <w:p>
            <w:r>
              <w:t>35.2%</w:t>
            </w:r>
          </w:p>
        </w:tc>
      </w:tr>
    </w:tbl>
    <w:p/>
    <w:p>
      <w:r>
        <w:rPr>
          <w:b/>
          <w:color w:val="C8102E"/>
          <w:sz w:val="26"/>
        </w:rPr>
        <w:t>Cost Structure &amp; Unit Economics</w:t>
      </w:r>
    </w:p>
    <w:p>
      <w:r>
        <w:rPr>
          <w:b w:val="0"/>
          <w:i w:val="0"/>
          <w:color w:val="222222"/>
          <w:sz w:val="22"/>
        </w:rPr>
        <w:t>Operating expense as a percentage of revenue decreases as the platform scales — typical SaaS operating-leverage curve. Year-1 blended OpEx ratio is approximately 78% of revenue (a typical pre-Series-A platform burn ratio); Year-5 base case OpEx is approximately 37.6% of revenue, positioning BiRAGAS at a 40%-plus EBITDA margin profile by 2030.</w:t>
      </w:r>
    </w:p>
    <w:p>
      <w:r>
        <w:rPr>
          <w:b w:val="0"/>
          <w:i w:val="0"/>
          <w:color w:val="222222"/>
          <w:sz w:val="22"/>
        </w:rPr>
        <w:t>The cost structure incorporates two channel-specific additions: (i) LDT-channel sales and marketing (approximately $10M Y5) covering hospital business development, CLIA lab partnerships, and a clinical-lab sales force; (ii) Consumer-channel sales and marketing (approximately $15M Y5) covering DTC paid acquisition, clinic business development, and brand. Plus a small G&amp;A addition (approximately $3M Y5) for CLIA regulatory and FDA submission infrastructure.</w:t>
      </w:r>
    </w:p>
    <w:p>
      <w:r>
        <w:rPr>
          <w:b/>
          <w:color w:val="1A1A1A"/>
          <w:sz w:val="26"/>
        </w:rPr>
        <w:t>OpEx ratios — base case (% of revenue)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  <w:t>Line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2026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2027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2028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2029</w:t>
            </w:r>
          </w:p>
        </w:tc>
        <w:tc>
          <w:tcPr>
            <w:tcW w:type="dxa" w:w="1608"/>
          </w:tcPr>
          <w:p>
            <w:r>
              <w:rPr>
                <w:b/>
              </w:rPr>
              <w:t>2030</w:t>
            </w:r>
          </w:p>
        </w:tc>
      </w:tr>
      <w:tr>
        <w:tc>
          <w:tcPr>
            <w:tcW w:type="dxa" w:w="1608"/>
          </w:tcPr>
          <w:p>
            <w:r>
              <w:t>Engineering &amp; infrastructure</w:t>
            </w:r>
          </w:p>
        </w:tc>
        <w:tc>
          <w:tcPr>
            <w:tcW w:type="dxa" w:w="1608"/>
          </w:tcPr>
          <w:p>
            <w:r>
              <w:t>33.9%</w:t>
            </w:r>
          </w:p>
        </w:tc>
        <w:tc>
          <w:tcPr>
            <w:tcW w:type="dxa" w:w="1608"/>
          </w:tcPr>
          <w:p>
            <w:r>
              <w:t>24.0%</w:t>
            </w:r>
          </w:p>
        </w:tc>
        <w:tc>
          <w:tcPr>
            <w:tcW w:type="dxa" w:w="1608"/>
          </w:tcPr>
          <w:p>
            <w:r>
              <w:t>20.2%</w:t>
            </w:r>
          </w:p>
        </w:tc>
        <w:tc>
          <w:tcPr>
            <w:tcW w:type="dxa" w:w="1608"/>
          </w:tcPr>
          <w:p>
            <w:r>
              <w:t>17.7%</w:t>
            </w:r>
          </w:p>
        </w:tc>
        <w:tc>
          <w:tcPr>
            <w:tcW w:type="dxa" w:w="1608"/>
          </w:tcPr>
          <w:p>
            <w:r>
              <w:t>15.1%</w:t>
            </w:r>
          </w:p>
        </w:tc>
      </w:tr>
      <w:tr>
        <w:tc>
          <w:tcPr>
            <w:tcW w:type="dxa" w:w="1608"/>
          </w:tcPr>
          <w:p>
            <w:r>
              <w:t>Sales &amp; marketing</w:t>
            </w:r>
          </w:p>
        </w:tc>
        <w:tc>
          <w:tcPr>
            <w:tcW w:type="dxa" w:w="1608"/>
          </w:tcPr>
          <w:p>
            <w:r>
              <w:t>25.1%</w:t>
            </w:r>
          </w:p>
        </w:tc>
        <w:tc>
          <w:tcPr>
            <w:tcW w:type="dxa" w:w="1608"/>
          </w:tcPr>
          <w:p>
            <w:r>
              <w:t>18.1%</w:t>
            </w:r>
          </w:p>
        </w:tc>
        <w:tc>
          <w:tcPr>
            <w:tcW w:type="dxa" w:w="1608"/>
          </w:tcPr>
          <w:p>
            <w:r>
              <w:t>15.5%</w:t>
            </w:r>
          </w:p>
        </w:tc>
        <w:tc>
          <w:tcPr>
            <w:tcW w:type="dxa" w:w="1608"/>
          </w:tcPr>
          <w:p>
            <w:r>
              <w:t>13.5%</w:t>
            </w:r>
          </w:p>
        </w:tc>
        <w:tc>
          <w:tcPr>
            <w:tcW w:type="dxa" w:w="1608"/>
          </w:tcPr>
          <w:p>
            <w:r>
              <w:t>12.9%</w:t>
            </w:r>
          </w:p>
        </w:tc>
      </w:tr>
      <w:tr>
        <w:tc>
          <w:tcPr>
            <w:tcW w:type="dxa" w:w="1608"/>
          </w:tcPr>
          <w:p>
            <w:r>
              <w:t>R&amp;D / new modules</w:t>
            </w:r>
          </w:p>
        </w:tc>
        <w:tc>
          <w:tcPr>
            <w:tcW w:type="dxa" w:w="1608"/>
          </w:tcPr>
          <w:p>
            <w:r>
              <w:t>12.3%</w:t>
            </w:r>
          </w:p>
        </w:tc>
        <w:tc>
          <w:tcPr>
            <w:tcW w:type="dxa" w:w="1608"/>
          </w:tcPr>
          <w:p>
            <w:r>
              <w:t>8.4%</w:t>
            </w:r>
          </w:p>
        </w:tc>
        <w:tc>
          <w:tcPr>
            <w:tcW w:type="dxa" w:w="1608"/>
          </w:tcPr>
          <w:p>
            <w:r>
              <w:t>7.6%</w:t>
            </w:r>
          </w:p>
        </w:tc>
        <w:tc>
          <w:tcPr>
            <w:tcW w:type="dxa" w:w="1608"/>
          </w:tcPr>
          <w:p>
            <w:r>
              <w:t>6.6%</w:t>
            </w:r>
          </w:p>
        </w:tc>
        <w:tc>
          <w:tcPr>
            <w:tcW w:type="dxa" w:w="1608"/>
          </w:tcPr>
          <w:p>
            <w:r>
              <w:t>5.9%</w:t>
            </w:r>
          </w:p>
        </w:tc>
      </w:tr>
      <w:tr>
        <w:tc>
          <w:tcPr>
            <w:tcW w:type="dxa" w:w="1608"/>
          </w:tcPr>
          <w:p>
            <w:r>
              <w:t>G&amp;A</w:t>
            </w:r>
          </w:p>
        </w:tc>
        <w:tc>
          <w:tcPr>
            <w:tcW w:type="dxa" w:w="1608"/>
          </w:tcPr>
          <w:p>
            <w:r>
              <w:t>6.9%</w:t>
            </w:r>
          </w:p>
        </w:tc>
        <w:tc>
          <w:tcPr>
            <w:tcW w:type="dxa" w:w="1608"/>
          </w:tcPr>
          <w:p>
            <w:r>
              <w:t>4.3%</w:t>
            </w:r>
          </w:p>
        </w:tc>
        <w:tc>
          <w:tcPr>
            <w:tcW w:type="dxa" w:w="1608"/>
          </w:tcPr>
          <w:p>
            <w:r>
              <w:t>5.2%</w:t>
            </w:r>
          </w:p>
        </w:tc>
        <w:tc>
          <w:tcPr>
            <w:tcW w:type="dxa" w:w="1608"/>
          </w:tcPr>
          <w:p>
            <w:r>
              <w:t>4.0%</w:t>
            </w:r>
          </w:p>
        </w:tc>
        <w:tc>
          <w:tcPr>
            <w:tcW w:type="dxa" w:w="1608"/>
          </w:tcPr>
          <w:p>
            <w:r>
              <w:t>3.7%</w:t>
            </w:r>
          </w:p>
        </w:tc>
      </w:tr>
      <w:tr>
        <w:tc>
          <w:tcPr>
            <w:tcW w:type="dxa" w:w="1608"/>
          </w:tcPr>
          <w:p>
            <w:r>
              <w:t>Total OpEx ratio</w:t>
            </w:r>
          </w:p>
        </w:tc>
        <w:tc>
          <w:tcPr>
            <w:tcW w:type="dxa" w:w="1608"/>
          </w:tcPr>
          <w:p>
            <w:r>
              <w:t>78.2%</w:t>
            </w:r>
          </w:p>
        </w:tc>
        <w:tc>
          <w:tcPr>
            <w:tcW w:type="dxa" w:w="1608"/>
          </w:tcPr>
          <w:p>
            <w:r>
              <w:t>54.8%</w:t>
            </w:r>
          </w:p>
        </w:tc>
        <w:tc>
          <w:tcPr>
            <w:tcW w:type="dxa" w:w="1608"/>
          </w:tcPr>
          <w:p>
            <w:r>
              <w:t>48.5%</w:t>
            </w:r>
          </w:p>
        </w:tc>
        <w:tc>
          <w:tcPr>
            <w:tcW w:type="dxa" w:w="1608"/>
          </w:tcPr>
          <w:p>
            <w:r>
              <w:t>41.8%</w:t>
            </w:r>
          </w:p>
        </w:tc>
        <w:tc>
          <w:tcPr>
            <w:tcW w:type="dxa" w:w="1608"/>
          </w:tcPr>
          <w:p>
            <w:r>
              <w:t>37.6%</w:t>
            </w:r>
          </w:p>
        </w:tc>
      </w:tr>
    </w:tbl>
    <w:p>
      <w:r>
        <w:rPr>
          <w:b/>
          <w:color w:val="1A1A1A"/>
          <w:sz w:val="26"/>
        </w:rPr>
        <w:t>Unit economics by segment</w:t>
      </w:r>
    </w:p>
    <w:p>
      <w:r>
        <w:rPr>
          <w:b w:val="0"/>
          <w:i w:val="0"/>
          <w:color w:val="222222"/>
          <w:sz w:val="22"/>
        </w:rPr>
        <w:t>LTV/CAC ratios are conservatively modeled. Big pharma 56× (long contracts, low churn, $1.5M ASP). Mid-cap biotech 25×. Small biotech 11.5× (highest churn risk). CROs 36×. AMCs 15×. Government 19×. LDT per-patient transactional (approximately 4× CAC payback in 6 months). Consumer DTC (approximately 6.7× LTV/CAC with 30% annual churn). Consumer Clinic (25× LTV/CAC with 12% annual churn).</w:t>
      </w:r>
    </w:p>
    <w:p>
      <w:r>
        <w:rPr>
          <w:b w:val="0"/>
          <w:i w:val="0"/>
          <w:color w:val="222222"/>
          <w:sz w:val="22"/>
        </w:rPr>
        <w:t>All segments are profitable on a unit basis from Year-2 onward. LDT and Consumer Wellness streams add positive contribution margin from Year-1 once channel sales and marketing phases in.</w:t>
      </w:r>
    </w:p>
    <w:p/>
    <w:p>
      <w:r>
        <w:rPr>
          <w:b/>
          <w:color w:val="C8102E"/>
          <w:sz w:val="26"/>
        </w:rPr>
        <w:t>Risks &amp; Mitigations</w:t>
      </w:r>
    </w:p>
    <w:p>
      <w:r>
        <w:rPr>
          <w:b/>
          <w:color w:val="1A1A1A"/>
          <w:sz w:val="22"/>
        </w:rPr>
        <w:t xml:space="preserve">Slower-than-expected enterprise sales cycle in big pharma — </w:t>
      </w:r>
      <w:r>
        <w:rPr>
          <w:color w:val="222222"/>
          <w:sz w:val="22"/>
        </w:rPr>
        <w:t>Mitigation: 48% of base-case 2030 revenue comes from non-big-pharma SaaS segments. Even if big-pharma sales lag 18 months and reduce big-pharma customer count by 50%, base-case 2030 revenue is reduced by only approximately 11%. LDT and Consumer streams are independent of pharma sales cycles — they add $137M of 2030 revenue regardless.</w:t>
      </w:r>
    </w:p>
    <w:p>
      <w:r>
        <w:rPr>
          <w:b/>
          <w:color w:val="1A1A1A"/>
          <w:sz w:val="22"/>
        </w:rPr>
        <w:t xml:space="preserve">FDA causal-evidence guidance does not advance on schedule — </w:t>
      </w:r>
      <w:r>
        <w:rPr>
          <w:color w:val="222222"/>
          <w:sz w:val="22"/>
        </w:rPr>
        <w:t>Mitigation: BiRAGAS's value proposition does not depend on FDA mandating causal evidence — it depends on FDA accepting causal evidence in dossiers. The DN companion-diagnostic Pre-Submission is already engaged. An accept-as-equivalent regulatory posture is sufficient for the base case.</w:t>
      </w:r>
    </w:p>
    <w:p>
      <w:r>
        <w:rPr>
          <w:b/>
          <w:color w:val="1A1A1A"/>
          <w:sz w:val="22"/>
        </w:rPr>
        <w:t xml:space="preserve">Larger AI drug discovery competitors enter causal target identification — </w:t>
      </w:r>
      <w:r>
        <w:rPr>
          <w:color w:val="222222"/>
          <w:sz w:val="22"/>
        </w:rPr>
        <w:t>Mitigation: documented 3–4 year architectural catch-up cost. BiRAGAS's foundation gap is structural, not feature-level. Installed-base pricing power compounds before 2030.</w:t>
      </w:r>
    </w:p>
    <w:p>
      <w:r>
        <w:rPr>
          <w:b/>
          <w:color w:val="1A1A1A"/>
          <w:sz w:val="22"/>
        </w:rPr>
        <w:t xml:space="preserve">Companion diagnostic royalty timeline slips past 2028 — </w:t>
      </w:r>
      <w:r>
        <w:rPr>
          <w:color w:val="222222"/>
          <w:sz w:val="22"/>
        </w:rPr>
        <w:t>Mitigation: CDx contribution to base-case 2028 revenue is only $1.2M (0.6% of 2028 revenue). Slipping first launch to 2029 reduces 2028 EBITDA by less than $1M. Base 2028 EBITDA holds at approximately $54M even without CDx.</w:t>
      </w:r>
    </w:p>
    <w:p>
      <w:r>
        <w:rPr>
          <w:b/>
          <w:color w:val="1A1A1A"/>
          <w:sz w:val="22"/>
        </w:rPr>
        <w:t xml:space="preserve">Customer concentration risk if big-pharma contracts dominate early — </w:t>
      </w:r>
      <w:r>
        <w:rPr>
          <w:color w:val="222222"/>
          <w:sz w:val="22"/>
        </w:rPr>
        <w:t>Mitigation: customer-segment diversification is baked into 2026 (3 big pharma + 10 mid-cap + 18 small biotech + 3 CROs + 8 AMCs + 5 government = 47 customers in Year 1). No single customer exceeds 8% of revenue in any year through 2030.</w:t>
      </w:r>
    </w:p>
    <w:p>
      <w:r>
        <w:rPr>
          <w:b/>
          <w:color w:val="1A1A1A"/>
          <w:sz w:val="22"/>
        </w:rPr>
        <w:t xml:space="preserve">Co-development partnerships fail to convert to milestones — </w:t>
      </w:r>
      <w:r>
        <w:rPr>
          <w:color w:val="222222"/>
          <w:sz w:val="22"/>
        </w:rPr>
        <w:t>Mitigation: 60% of base-case 2030 revenue is recurring (SaaS + LDT + Consumer = $387M). Removing all co-dev milestones leaves 2030 base revenue at $404M and 2028 base revenue at $149M — still positive EBITDA by 2028.</w:t>
      </w:r>
    </w:p>
    <w:p>
      <w:r>
        <w:rPr>
          <w:b/>
          <w:color w:val="1A1A1A"/>
          <w:sz w:val="22"/>
        </w:rPr>
        <w:t xml:space="preserve">Margins compress because compute costs scale faster than revenue — </w:t>
      </w:r>
      <w:r>
        <w:rPr>
          <w:color w:val="222222"/>
          <w:sz w:val="22"/>
        </w:rPr>
        <w:t>Mitigation: COGS modeled at 22% in 2030 (a conservative ceiling). Recursion 10-K shows 32% COGS at $50M revenue; BiRAGAS's lower-touch causal inference workload runs approximately 3× more compute-efficient. If COGS rises to 28%, 2030 EBITDA still lands at approximately $215M.</w:t>
      </w:r>
    </w:p>
    <w:p>
      <w:r>
        <w:rPr>
          <w:b/>
          <w:color w:val="1A1A1A"/>
          <w:sz w:val="22"/>
        </w:rPr>
        <w:t xml:space="preserve">CMS LDT reimbursement uncertainty (CMS LCD and FDA VALID Act) — </w:t>
      </w:r>
      <w:r>
        <w:rPr>
          <w:color w:val="222222"/>
          <w:sz w:val="22"/>
        </w:rPr>
        <w:t>Mitigation: LDT revenue is modeled at CLIA-only ASPs (no payor coverage assumed for non-CDx CLIA tests). MAC jurisdiction variability is averaged across ten disease lines and six US MAC regions. VALID Act enforcement risk: even under the most stringent interpretation (full FDA premarket review for all LDTs), only three of the ten LDT lines would require a 510(k) — adds approximately six months of timeline but does not eliminate the revenue stream.</w:t>
      </w:r>
    </w:p>
    <w:p>
      <w:r>
        <w:rPr>
          <w:b/>
          <w:color w:val="1A1A1A"/>
          <w:sz w:val="22"/>
        </w:rPr>
        <w:t xml:space="preserve">Consumer channel sales and marketing ramp underperforms — </w:t>
      </w:r>
      <w:r>
        <w:rPr>
          <w:color w:val="222222"/>
          <w:sz w:val="22"/>
        </w:rPr>
        <w:t>Mitigation: Consumer stream contributes only 6% of 2030 base revenue ($37.5M of $618.8M). If DTC subscriber acquisition costs 2× the modeled CAC ($240 blended vs. $120), 2030 Consumer revenue holds (subscribers still grow, just less profitably) but 2030 EBITDA reduces by approximately $3M. Risk is bounded.</w:t>
      </w:r>
    </w:p>
    <w:p>
      <w:r>
        <w:rPr>
          <w:b/>
          <w:color w:val="1A1A1A"/>
          <w:sz w:val="22"/>
        </w:rPr>
        <w:t xml:space="preserve">Three cross-cutting verticals face execution dilution — </w:t>
      </w:r>
      <w:r>
        <w:rPr>
          <w:color w:val="222222"/>
          <w:sz w:val="22"/>
        </w:rPr>
        <w:t>Mitigation: Wound Care + AMR, Wellness/Longevity, and Agentic AI each have at most one revenue line active in the Y3 base case. Sequencing: Wound Care + AMR (closest to existing biology motion via LDT plus pharma partnership) goes to market first. Wellness and Agentic are Y4-plus ramps with separate go-to-market teams explicitly modeled in the OpEx growth.</w:t>
      </w:r>
    </w:p>
    <w:p/>
    <w:p>
      <w:r>
        <w:rPr>
          <w:b/>
          <w:color w:val="C8102E"/>
          <w:sz w:val="26"/>
        </w:rPr>
        <w:t>References</w:t>
      </w:r>
    </w:p>
    <w:p>
      <w:r>
        <w:rPr>
          <w:b w:val="0"/>
          <w:i w:val="0"/>
          <w:color w:val="222222"/>
          <w:sz w:val="22"/>
        </w:rPr>
        <w:t>All market figures sourced from publicly available industry reports, peer-reviewed journals, SEC filings, and FDA guidance documents. Subscriber-only databases (EvaluatePharma, GlobalData, IQVIA, Cortellis) are cited by report name and year, accessible to qualified institutional investors via their existing subscriptions.</w:t>
      </w:r>
    </w:p>
    <w:p>
      <w:r>
        <w:rPr>
          <w:b/>
          <w:color w:val="1A1A1A"/>
          <w:sz w:val="20"/>
        </w:rPr>
        <w:t xml:space="preserve">1. </w:t>
      </w:r>
      <w:r>
        <w:rPr>
          <w:color w:val="222222"/>
          <w:sz w:val="20"/>
        </w:rPr>
        <w:t>Grand View Research (2024) — AI in Drug Discovery Market Size, Share &amp; Trends Analysis Report 2024–2030. ID: GVR-4-68039-944-1.</w:t>
      </w:r>
    </w:p>
    <w:p>
      <w:r>
        <w:rPr>
          <w:b/>
          <w:color w:val="1A1A1A"/>
          <w:sz w:val="20"/>
        </w:rPr>
        <w:t xml:space="preserve">2. </w:t>
      </w:r>
      <w:r>
        <w:rPr>
          <w:color w:val="222222"/>
          <w:sz w:val="20"/>
        </w:rPr>
        <w:t>Markets and Markets (2024) — Artificial Intelligence in Drug Discovery Market Global Forecast 2029. Report Code: BT-7728.</w:t>
      </w:r>
    </w:p>
    <w:p>
      <w:r>
        <w:rPr>
          <w:b/>
          <w:color w:val="1A1A1A"/>
          <w:sz w:val="20"/>
        </w:rPr>
        <w:t xml:space="preserve">3. </w:t>
      </w:r>
      <w:r>
        <w:rPr>
          <w:color w:val="222222"/>
          <w:sz w:val="20"/>
        </w:rPr>
        <w:t>Precedence Research (2024) — AI in Drug Discovery Market Size 2024 to 2034. PR-1567.</w:t>
      </w:r>
    </w:p>
    <w:p>
      <w:r>
        <w:rPr>
          <w:b/>
          <w:color w:val="1A1A1A"/>
          <w:sz w:val="20"/>
        </w:rPr>
        <w:t xml:space="preserve">4. </w:t>
      </w:r>
      <w:r>
        <w:rPr>
          <w:color w:val="222222"/>
          <w:sz w:val="20"/>
        </w:rPr>
        <w:t>McKinsey &amp; Company (2024) — The promise of AI in pharma R&amp;D. Estimates external pharma R&amp;D AI spend at $50B by 2030.</w:t>
      </w:r>
    </w:p>
    <w:p>
      <w:r>
        <w:rPr>
          <w:b/>
          <w:color w:val="1A1A1A"/>
          <w:sz w:val="20"/>
        </w:rPr>
        <w:t xml:space="preserve">5. </w:t>
      </w:r>
      <w:r>
        <w:rPr>
          <w:color w:val="222222"/>
          <w:sz w:val="20"/>
        </w:rPr>
        <w:t>Deloitte Centre for Health Solutions (2024) — Measuring the return from pharmaceutical innovation 2024.</w:t>
      </w:r>
    </w:p>
    <w:p>
      <w:r>
        <w:rPr>
          <w:b/>
          <w:color w:val="1A1A1A"/>
          <w:sz w:val="20"/>
        </w:rPr>
        <w:t xml:space="preserve">6. </w:t>
      </w:r>
      <w:r>
        <w:rPr>
          <w:color w:val="222222"/>
          <w:sz w:val="20"/>
        </w:rPr>
        <w:t>Boston Consulting Group (2024) — How AI Is Transforming Pharma R&amp;D.</w:t>
      </w:r>
    </w:p>
    <w:p>
      <w:r>
        <w:rPr>
          <w:b/>
          <w:color w:val="1A1A1A"/>
          <w:sz w:val="20"/>
        </w:rPr>
        <w:t xml:space="preserve">7. </w:t>
      </w:r>
      <w:r>
        <w:rPr>
          <w:color w:val="222222"/>
          <w:sz w:val="20"/>
        </w:rPr>
        <w:t>Markets and Markets (2024) — RNA Sequencing (RNA-Seq) Market Global Forecast to 2029. Report Code: BT-3057.</w:t>
      </w:r>
    </w:p>
    <w:p>
      <w:r>
        <w:rPr>
          <w:b/>
          <w:color w:val="1A1A1A"/>
          <w:sz w:val="20"/>
        </w:rPr>
        <w:t xml:space="preserve">8. </w:t>
      </w:r>
      <w:r>
        <w:rPr>
          <w:color w:val="222222"/>
          <w:sz w:val="20"/>
        </w:rPr>
        <w:t>Allied Market Research (2024) — RNA Sequencing Market Outlook 2030. ID: A06125.</w:t>
      </w:r>
    </w:p>
    <w:p>
      <w:r>
        <w:rPr>
          <w:b/>
          <w:color w:val="1A1A1A"/>
          <w:sz w:val="20"/>
        </w:rPr>
        <w:t xml:space="preserve">9. </w:t>
      </w:r>
      <w:r>
        <w:rPr>
          <w:color w:val="222222"/>
          <w:sz w:val="20"/>
        </w:rPr>
        <w:t>Vantage Market Research (2024) — RNA Therapeutics Market Global Industry Analysis 2030. ID: VMR-1029.</w:t>
      </w:r>
    </w:p>
    <w:p>
      <w:r>
        <w:rPr>
          <w:b/>
          <w:color w:val="1A1A1A"/>
          <w:sz w:val="20"/>
        </w:rPr>
        <w:t xml:space="preserve">10. </w:t>
      </w:r>
      <w:r>
        <w:rPr>
          <w:color w:val="222222"/>
          <w:sz w:val="20"/>
        </w:rPr>
        <w:t>Statista Research Department (2024) — RNA Therapeutics Market Size Projections.</w:t>
      </w:r>
    </w:p>
    <w:p>
      <w:r>
        <w:rPr>
          <w:b/>
          <w:color w:val="1A1A1A"/>
          <w:sz w:val="20"/>
        </w:rPr>
        <w:t xml:space="preserve">11. </w:t>
      </w:r>
      <w:r>
        <w:rPr>
          <w:color w:val="222222"/>
          <w:sz w:val="20"/>
        </w:rPr>
        <w:t>Nature Reviews Drug Discovery (2023) — Therapeutic mRNA: a new frontier in vaccines and therapeutics.</w:t>
      </w:r>
    </w:p>
    <w:p>
      <w:r>
        <w:rPr>
          <w:b/>
          <w:color w:val="1A1A1A"/>
          <w:sz w:val="20"/>
        </w:rPr>
        <w:t xml:space="preserve">12. </w:t>
      </w:r>
      <w:r>
        <w:rPr>
          <w:color w:val="222222"/>
          <w:sz w:val="20"/>
        </w:rPr>
        <w:t>EvaluatePharma (2024) — World Preview 2024–2030: Outlook to 2030. Annual report.</w:t>
      </w:r>
    </w:p>
    <w:p>
      <w:r>
        <w:rPr>
          <w:b/>
          <w:color w:val="1A1A1A"/>
          <w:sz w:val="20"/>
        </w:rPr>
        <w:t xml:space="preserve">13. </w:t>
      </w:r>
      <w:r>
        <w:rPr>
          <w:color w:val="222222"/>
          <w:sz w:val="20"/>
        </w:rPr>
        <w:t>Fortune Business Insights (2024) — Companion Diagnostics Market Size, Share &amp; COVID-19 Impact Analysis. Report ID: 102320.</w:t>
      </w:r>
    </w:p>
    <w:p>
      <w:r>
        <w:rPr>
          <w:b/>
          <w:color w:val="1A1A1A"/>
          <w:sz w:val="20"/>
        </w:rPr>
        <w:t xml:space="preserve">14. </w:t>
      </w:r>
      <w:r>
        <w:rPr>
          <w:color w:val="222222"/>
          <w:sz w:val="20"/>
        </w:rPr>
        <w:t>Markets and Markets (2024) — Companion Diagnostics Market 2028 Global Forecast. Report Code: PH-2884.</w:t>
      </w:r>
    </w:p>
    <w:p>
      <w:r>
        <w:rPr>
          <w:b/>
          <w:color w:val="1A1A1A"/>
          <w:sz w:val="20"/>
        </w:rPr>
        <w:t xml:space="preserve">15. </w:t>
      </w:r>
      <w:r>
        <w:rPr>
          <w:color w:val="222222"/>
          <w:sz w:val="20"/>
        </w:rPr>
        <w:t>IQVIA Institute for Human Data Science (2024) — Global Oncology Trends 2024: Outlook to 2028.</w:t>
      </w:r>
    </w:p>
    <w:p>
      <w:r>
        <w:rPr>
          <w:b/>
          <w:color w:val="1A1A1A"/>
          <w:sz w:val="20"/>
        </w:rPr>
        <w:t xml:space="preserve">16. </w:t>
      </w:r>
      <w:r>
        <w:rPr>
          <w:color w:val="222222"/>
          <w:sz w:val="20"/>
        </w:rPr>
        <w:t>GlobalData (2024) — Oncology Therapeutics: Global Drug Forecast and Market Analysis to 2030.</w:t>
      </w:r>
    </w:p>
    <w:p>
      <w:r>
        <w:rPr>
          <w:b/>
          <w:color w:val="1A1A1A"/>
          <w:sz w:val="20"/>
        </w:rPr>
        <w:t xml:space="preserve">17. </w:t>
      </w:r>
      <w:r>
        <w:rPr>
          <w:color w:val="222222"/>
          <w:sz w:val="20"/>
        </w:rPr>
        <w:t>GlobalData (2024) — Non-Small Cell Lung Cancer: Market Size, Share, Forecast 2025–2030.</w:t>
      </w:r>
    </w:p>
    <w:p>
      <w:r>
        <w:rPr>
          <w:b/>
          <w:color w:val="1A1A1A"/>
          <w:sz w:val="20"/>
        </w:rPr>
        <w:t xml:space="preserve">18. </w:t>
      </w:r>
      <w:r>
        <w:rPr>
          <w:color w:val="222222"/>
          <w:sz w:val="20"/>
        </w:rPr>
        <w:t>EvaluatePharma (2024) — Breast Cancer: World Preview Forecast.</w:t>
      </w:r>
    </w:p>
    <w:p>
      <w:r>
        <w:rPr>
          <w:b/>
          <w:color w:val="1A1A1A"/>
          <w:sz w:val="20"/>
        </w:rPr>
        <w:t xml:space="preserve">19. </w:t>
      </w:r>
      <w:r>
        <w:rPr>
          <w:color w:val="222222"/>
          <w:sz w:val="20"/>
        </w:rPr>
        <w:t>EvaluatePharma (2024) — Colorectal Cancer: Market Forecast.</w:t>
      </w:r>
    </w:p>
    <w:p>
      <w:r>
        <w:rPr>
          <w:b/>
          <w:color w:val="1A1A1A"/>
          <w:sz w:val="20"/>
        </w:rPr>
        <w:t xml:space="preserve">20. </w:t>
      </w:r>
      <w:r>
        <w:rPr>
          <w:color w:val="222222"/>
          <w:sz w:val="20"/>
        </w:rPr>
        <w:t>Globe Newswire / Verified Market Research (2024) — Prostate Cancer Drugs Market.</w:t>
      </w:r>
    </w:p>
    <w:p>
      <w:r>
        <w:rPr>
          <w:b/>
          <w:color w:val="1A1A1A"/>
          <w:sz w:val="20"/>
        </w:rPr>
        <w:t xml:space="preserve">21. </w:t>
      </w:r>
      <w:r>
        <w:rPr>
          <w:color w:val="222222"/>
          <w:sz w:val="20"/>
        </w:rPr>
        <w:t>Statista Research Department (2024) — Melanoma Drugs Market Worldwide.</w:t>
      </w:r>
    </w:p>
    <w:p>
      <w:r>
        <w:rPr>
          <w:b/>
          <w:color w:val="1A1A1A"/>
          <w:sz w:val="20"/>
        </w:rPr>
        <w:t xml:space="preserve">22. </w:t>
      </w:r>
      <w:r>
        <w:rPr>
          <w:color w:val="222222"/>
          <w:sz w:val="20"/>
        </w:rPr>
        <w:t>Mordor Intelligence (2024) — Pancreatic Cancer Drugs Market Outlook 2024–2029.</w:t>
      </w:r>
    </w:p>
    <w:p>
      <w:r>
        <w:rPr>
          <w:b/>
          <w:color w:val="1A1A1A"/>
          <w:sz w:val="20"/>
        </w:rPr>
        <w:t xml:space="preserve">23. </w:t>
      </w:r>
      <w:r>
        <w:rPr>
          <w:color w:val="222222"/>
          <w:sz w:val="20"/>
        </w:rPr>
        <w:t>Fortune Business Insights (2024) — Hepatocellular Carcinoma Therapeutics Market.</w:t>
      </w:r>
    </w:p>
    <w:p>
      <w:r>
        <w:rPr>
          <w:b/>
          <w:color w:val="1A1A1A"/>
          <w:sz w:val="20"/>
        </w:rPr>
        <w:t xml:space="preserve">24. </w:t>
      </w:r>
      <w:r>
        <w:rPr>
          <w:color w:val="222222"/>
          <w:sz w:val="20"/>
        </w:rPr>
        <w:t>Globe Newswire / Future Market Insights (2024) — AML Therapeutics Market Forecast.</w:t>
      </w:r>
    </w:p>
    <w:p>
      <w:r>
        <w:rPr>
          <w:b/>
          <w:color w:val="1A1A1A"/>
          <w:sz w:val="20"/>
        </w:rPr>
        <w:t xml:space="preserve">25. </w:t>
      </w:r>
      <w:r>
        <w:rPr>
          <w:color w:val="222222"/>
          <w:sz w:val="20"/>
        </w:rPr>
        <w:t>Mordor Intelligence (2024) — Diabetic Nephropathy Drugs Market Outlook.</w:t>
      </w:r>
    </w:p>
    <w:p>
      <w:r>
        <w:rPr>
          <w:b/>
          <w:color w:val="1A1A1A"/>
          <w:sz w:val="20"/>
        </w:rPr>
        <w:t xml:space="preserve">26. </w:t>
      </w:r>
      <w:r>
        <w:rPr>
          <w:color w:val="222222"/>
          <w:sz w:val="20"/>
        </w:rPr>
        <w:t>Polaris Market Research (2024) — Diabetic Nephropathy Treatment Market.</w:t>
      </w:r>
    </w:p>
    <w:p>
      <w:r>
        <w:rPr>
          <w:b/>
          <w:color w:val="1A1A1A"/>
          <w:sz w:val="20"/>
        </w:rPr>
        <w:t xml:space="preserve">27. </w:t>
      </w:r>
      <w:r>
        <w:rPr>
          <w:color w:val="222222"/>
          <w:sz w:val="20"/>
        </w:rPr>
        <w:t>Vantage Market Research (2024) — Inflammatory Bowel Disease Treatment Market.</w:t>
      </w:r>
    </w:p>
    <w:p>
      <w:r>
        <w:rPr>
          <w:b/>
          <w:color w:val="1A1A1A"/>
          <w:sz w:val="20"/>
        </w:rPr>
        <w:t xml:space="preserve">28. </w:t>
      </w:r>
      <w:r>
        <w:rPr>
          <w:color w:val="222222"/>
          <w:sz w:val="20"/>
        </w:rPr>
        <w:t>Allied Market Research (2024) — Rheumatoid Arthritis Drugs Market.</w:t>
      </w:r>
    </w:p>
    <w:p>
      <w:r>
        <w:rPr>
          <w:b/>
          <w:color w:val="1A1A1A"/>
          <w:sz w:val="20"/>
        </w:rPr>
        <w:t xml:space="preserve">29. </w:t>
      </w:r>
      <w:r>
        <w:rPr>
          <w:color w:val="222222"/>
          <w:sz w:val="20"/>
        </w:rPr>
        <w:t>Markets and Markets (2024) — Lupus (SLE) Therapeutics Market Forecast.</w:t>
      </w:r>
    </w:p>
    <w:p>
      <w:r>
        <w:rPr>
          <w:b/>
          <w:color w:val="1A1A1A"/>
          <w:sz w:val="20"/>
        </w:rPr>
        <w:t xml:space="preserve">30. </w:t>
      </w:r>
      <w:r>
        <w:rPr>
          <w:color w:val="222222"/>
          <w:sz w:val="20"/>
        </w:rPr>
        <w:t>Grand View Research (2024) — Autoimmune Diseases Treatment Market.</w:t>
      </w:r>
    </w:p>
    <w:p>
      <w:r>
        <w:rPr>
          <w:b/>
          <w:color w:val="1A1A1A"/>
          <w:sz w:val="20"/>
        </w:rPr>
        <w:t xml:space="preserve">31. </w:t>
      </w:r>
      <w:r>
        <w:rPr>
          <w:color w:val="222222"/>
          <w:sz w:val="20"/>
        </w:rPr>
        <w:t>Orphanet (2024) — Rare Disease Prevalence Database.</w:t>
      </w:r>
    </w:p>
    <w:p>
      <w:r>
        <w:rPr>
          <w:b/>
          <w:color w:val="1A1A1A"/>
          <w:sz w:val="20"/>
        </w:rPr>
        <w:t xml:space="preserve">32. </w:t>
      </w:r>
      <w:r>
        <w:rPr>
          <w:color w:val="222222"/>
          <w:sz w:val="20"/>
        </w:rPr>
        <w:t>EvaluatePharma (2024) — Multiple Sclerosis Drugs Market Forecast.</w:t>
      </w:r>
    </w:p>
    <w:p>
      <w:r>
        <w:rPr>
          <w:b/>
          <w:color w:val="1A1A1A"/>
          <w:sz w:val="20"/>
        </w:rPr>
        <w:t xml:space="preserve">33. </w:t>
      </w:r>
      <w:r>
        <w:rPr>
          <w:color w:val="222222"/>
          <w:sz w:val="20"/>
        </w:rPr>
        <w:t>Vantage Market Research (2024) — Psoriasis Treatment Market.</w:t>
      </w:r>
    </w:p>
    <w:p>
      <w:r>
        <w:rPr>
          <w:b/>
          <w:color w:val="1A1A1A"/>
          <w:sz w:val="20"/>
        </w:rPr>
        <w:t xml:space="preserve">34. </w:t>
      </w:r>
      <w:r>
        <w:rPr>
          <w:color w:val="222222"/>
          <w:sz w:val="20"/>
        </w:rPr>
        <w:t>GlobalData (2024) — Alzheimer's Disease Therapeutics: Global Drug Forecast.</w:t>
      </w:r>
    </w:p>
    <w:p>
      <w:r>
        <w:rPr>
          <w:b/>
          <w:color w:val="1A1A1A"/>
          <w:sz w:val="20"/>
        </w:rPr>
        <w:t xml:space="preserve">35. </w:t>
      </w:r>
      <w:r>
        <w:rPr>
          <w:color w:val="222222"/>
          <w:sz w:val="20"/>
        </w:rPr>
        <w:t>Markets and Markets (2024) — Parkinson's Disease Therapeutics Market.</w:t>
      </w:r>
    </w:p>
    <w:p>
      <w:r>
        <w:rPr>
          <w:b/>
          <w:color w:val="1A1A1A"/>
          <w:sz w:val="20"/>
        </w:rPr>
        <w:t xml:space="preserve">36. </w:t>
      </w:r>
      <w:r>
        <w:rPr>
          <w:color w:val="222222"/>
          <w:sz w:val="20"/>
        </w:rPr>
        <w:t>Cortellis (Clarivate, 2024) — Global Clinical Trial Landscape: ALS.</w:t>
      </w:r>
    </w:p>
    <w:p>
      <w:r>
        <w:rPr>
          <w:b/>
          <w:color w:val="1A1A1A"/>
          <w:sz w:val="20"/>
        </w:rPr>
        <w:t xml:space="preserve">37. </w:t>
      </w:r>
      <w:r>
        <w:rPr>
          <w:color w:val="222222"/>
          <w:sz w:val="20"/>
        </w:rPr>
        <w:t>GlobalData (2024) — ALS Therapeutics Forecast.</w:t>
      </w:r>
    </w:p>
    <w:p>
      <w:r>
        <w:rPr>
          <w:b/>
          <w:color w:val="1A1A1A"/>
          <w:sz w:val="20"/>
        </w:rPr>
        <w:t xml:space="preserve">38. </w:t>
      </w:r>
      <w:r>
        <w:rPr>
          <w:color w:val="222222"/>
          <w:sz w:val="20"/>
        </w:rPr>
        <w:t>Vantage Market Research (2024) — Depression Drugs Market.</w:t>
      </w:r>
    </w:p>
    <w:p>
      <w:r>
        <w:rPr>
          <w:b/>
          <w:color w:val="1A1A1A"/>
          <w:sz w:val="20"/>
        </w:rPr>
        <w:t xml:space="preserve">39. </w:t>
      </w:r>
      <w:r>
        <w:rPr>
          <w:color w:val="222222"/>
          <w:sz w:val="20"/>
        </w:rPr>
        <w:t>Morgan Stanley Research (2024) — The Obesity Drug Opportunity: 2030 Forecast.</w:t>
      </w:r>
    </w:p>
    <w:p>
      <w:r>
        <w:rPr>
          <w:b/>
          <w:color w:val="1A1A1A"/>
          <w:sz w:val="20"/>
        </w:rPr>
        <w:t xml:space="preserve">40. </w:t>
      </w:r>
      <w:r>
        <w:rPr>
          <w:color w:val="222222"/>
          <w:sz w:val="20"/>
        </w:rPr>
        <w:t>Statista Research Department (2024) — Obesity Market Forecast.</w:t>
      </w:r>
    </w:p>
    <w:p>
      <w:r>
        <w:rPr>
          <w:b/>
          <w:color w:val="1A1A1A"/>
          <w:sz w:val="20"/>
        </w:rPr>
        <w:t xml:space="preserve">41. </w:t>
      </w:r>
      <w:r>
        <w:rPr>
          <w:color w:val="222222"/>
          <w:sz w:val="20"/>
        </w:rPr>
        <w:t>Mordor Intelligence (2024) — Nephrology Drugs Market Forecast 2024–2029.</w:t>
      </w:r>
    </w:p>
    <w:p>
      <w:r>
        <w:rPr>
          <w:b/>
          <w:color w:val="1A1A1A"/>
          <w:sz w:val="20"/>
        </w:rPr>
        <w:t xml:space="preserve">42. </w:t>
      </w:r>
      <w:r>
        <w:rPr>
          <w:color w:val="222222"/>
          <w:sz w:val="20"/>
        </w:rPr>
        <w:t>Fortune Business Insights (2024) — Wound Care Market Size, Share &amp; Forecast 2030.</w:t>
      </w:r>
    </w:p>
    <w:p>
      <w:r>
        <w:rPr>
          <w:b/>
          <w:color w:val="1A1A1A"/>
          <w:sz w:val="20"/>
        </w:rPr>
        <w:t xml:space="preserve">43. </w:t>
      </w:r>
      <w:r>
        <w:rPr>
          <w:color w:val="222222"/>
          <w:sz w:val="20"/>
        </w:rPr>
        <w:t>CDC (2024) — Antibiotic Resistance Threats in the United States. AMR economic toll $55B → $90B.</w:t>
      </w:r>
    </w:p>
    <w:p>
      <w:r>
        <w:rPr>
          <w:b/>
          <w:color w:val="1A1A1A"/>
          <w:sz w:val="20"/>
        </w:rPr>
        <w:t xml:space="preserve">44. </w:t>
      </w:r>
      <w:r>
        <w:rPr>
          <w:color w:val="222222"/>
          <w:sz w:val="20"/>
        </w:rPr>
        <w:t>Pew Charitable Trusts (2024) — Antibiotic Resistance Project — non-antibiotic AMR adjuvant pipeline.</w:t>
      </w:r>
    </w:p>
    <w:p>
      <w:r>
        <w:rPr>
          <w:b/>
          <w:color w:val="1A1A1A"/>
          <w:sz w:val="20"/>
        </w:rPr>
        <w:t xml:space="preserve">45. </w:t>
      </w:r>
      <w:r>
        <w:rPr>
          <w:color w:val="222222"/>
          <w:sz w:val="20"/>
        </w:rPr>
        <w:t>Sen Hu et al. (2024) — Chronic non-healing wound prevalence in the United States.</w:t>
      </w:r>
    </w:p>
    <w:p>
      <w:r>
        <w:rPr>
          <w:b/>
          <w:color w:val="1A1A1A"/>
          <w:sz w:val="20"/>
        </w:rPr>
        <w:t xml:space="preserve">46. </w:t>
      </w:r>
      <w:r>
        <w:rPr>
          <w:color w:val="222222"/>
          <w:sz w:val="20"/>
        </w:rPr>
        <w:t>Global Wellness Institute (2024) — Global Wellness Economy: 2024 Update.</w:t>
      </w:r>
    </w:p>
    <w:p>
      <w:r>
        <w:rPr>
          <w:b/>
          <w:color w:val="1A1A1A"/>
          <w:sz w:val="20"/>
        </w:rPr>
        <w:t xml:space="preserve">47. </w:t>
      </w:r>
      <w:r>
        <w:rPr>
          <w:color w:val="222222"/>
          <w:sz w:val="20"/>
        </w:rPr>
        <w:t>Bank of America Research (2024) — Longevity &amp; Healthspan Industry Report.</w:t>
      </w:r>
    </w:p>
    <w:p>
      <w:r>
        <w:rPr>
          <w:b/>
          <w:color w:val="1A1A1A"/>
          <w:sz w:val="20"/>
        </w:rPr>
        <w:t xml:space="preserve">48. </w:t>
      </w:r>
      <w:r>
        <w:rPr>
          <w:color w:val="222222"/>
          <w:sz w:val="20"/>
        </w:rPr>
        <w:t>Gartner (2024) — Emerging Technologies: Agentic AI Market Forecast.</w:t>
      </w:r>
    </w:p>
    <w:p>
      <w:r>
        <w:rPr>
          <w:b/>
          <w:color w:val="1A1A1A"/>
          <w:sz w:val="20"/>
        </w:rPr>
        <w:t xml:space="preserve">49. </w:t>
      </w:r>
      <w:r>
        <w:rPr>
          <w:color w:val="222222"/>
          <w:sz w:val="20"/>
        </w:rPr>
        <w:t>Markets and Markets (2024) — Agentic AI Platform Market Forecast 2030.</w:t>
      </w:r>
    </w:p>
    <w:p>
      <w:r>
        <w:rPr>
          <w:b/>
          <w:color w:val="1A1A1A"/>
          <w:sz w:val="20"/>
        </w:rPr>
        <w:t xml:space="preserve">50. </w:t>
      </w:r>
      <w:r>
        <w:rPr>
          <w:color w:val="222222"/>
          <w:sz w:val="20"/>
        </w:rPr>
        <w:t>IDC (2024) — Worldwide Vertical AI Platform Forecast.</w:t>
      </w:r>
    </w:p>
    <w:p>
      <w:r>
        <w:rPr>
          <w:b/>
          <w:color w:val="1A1A1A"/>
          <w:sz w:val="20"/>
        </w:rPr>
        <w:t xml:space="preserve">51. </w:t>
      </w:r>
      <w:r>
        <w:rPr>
          <w:color w:val="222222"/>
          <w:sz w:val="20"/>
        </w:rPr>
        <w:t>10-K filings (2023 fiscal year): Recursion Pharmaceuticals, Schrödinger Inc., AbCellera Biologics, BenevolentAI, Tempus AI S-1, Insilico Medicine S-1 — used for ASP, gross-margin, and comparable-valuation benchmarks.</w:t>
      </w:r>
    </w:p>
    <w:p>
      <w:r>
        <w:rPr>
          <w:b/>
          <w:color w:val="1A1A1A"/>
          <w:sz w:val="20"/>
        </w:rPr>
        <w:t xml:space="preserve">52. </w:t>
      </w:r>
      <w:r>
        <w:rPr>
          <w:color w:val="222222"/>
          <w:sz w:val="20"/>
        </w:rPr>
        <w:t>FDA Guidance — Biomarker Qualification Program (BQP) and Companion Diagnostic CDRH 21 CFR 809.40.</w:t>
      </w:r>
    </w:p>
    <w:p>
      <w:r>
        <w:rPr>
          <w:b/>
          <w:color w:val="1A1A1A"/>
          <w:sz w:val="20"/>
        </w:rPr>
        <w:t xml:space="preserve">53. </w:t>
      </w:r>
      <w:r>
        <w:rPr>
          <w:color w:val="222222"/>
          <w:sz w:val="20"/>
        </w:rPr>
        <w:t>BiRAGAS Utilization Workbook (Ayass Bioscience internal, 2026) — source for LDT per-disease ASP and volume figures and Consumer Wellness channel sizing.</w:t>
      </w:r>
    </w:p>
    <w:p/>
    <w:p>
      <w:pPr>
        <w:jc w:val="center"/>
      </w:pPr>
      <w:r>
        <w:rPr>
          <w:b/>
          <w:i w:val="0"/>
          <w:color w:val="1A1A1A"/>
          <w:sz w:val="22"/>
        </w:rPr>
        <w:t>END OF PROJECTIONS DOCUMENT</w:t>
      </w:r>
    </w:p>
    <w:p/>
    <w:p>
      <w:pPr>
        <w:jc w:val="center"/>
      </w:pPr>
      <w:r>
        <w:rPr>
          <w:b w:val="0"/>
          <w:i/>
          <w:color w:val="C8102E"/>
          <w:sz w:val="22"/>
        </w:rPr>
        <w:t>BiRAGAS · Causal.</w:t>
      </w:r>
    </w:p>
    <w:p>
      <w:pPr>
        <w:jc w:val="center"/>
      </w:pPr>
      <w:r>
        <w:rPr>
          <w:b w:val="0"/>
          <w:i w:val="0"/>
          <w:color w:val="666666"/>
          <w:sz w:val="18"/>
        </w:rPr>
        <w:t>Ayass Bioscience · MMXXVI · For Discussion Purposes Only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