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88888"/>
          <w:sz w:val="18"/>
        </w:rPr>
        <w:t>AYASS BIOSCIENCE · BIRAGAS PLATFORM</w:t>
      </w:r>
    </w:p>
    <w:p>
      <w:r>
        <w:rPr>
          <w:b/>
          <w:color w:val="1A1A1A"/>
          <w:sz w:val="36"/>
        </w:rPr>
        <w:t>Response to Investor Questions on the Financials Workbook — F(2)</w:t>
      </w:r>
    </w:p>
    <w:p>
      <w:r>
        <w:rPr>
          <w:i/>
          <w:color w:val="666666"/>
          <w:sz w:val="18"/>
        </w:rPr>
        <w:t>Ayass Bioscience, LLC · Texas · 2026-05-25 · CONFIDENTIAL · NDA</w:t>
      </w:r>
    </w:p>
    <w:p>
      <w:r>
        <w:rPr>
          <w:color w:val="444444"/>
          <w:sz w:val="20"/>
        </w:rPr>
        <w:t>This document responds, in order, to the four questions raised in F(2).docx after review of the BiRAGAS Financial Projections workbook (Updated 05.25.2026). Each question is reproduced verbatim; the corresponding answer follows directly underneath, opening with a title block highlighted in red.</w:t>
      </w:r>
    </w:p>
    <w:p/>
    <w:p>
      <w:r>
        <w:rPr>
          <w:b/>
          <w:color w:val="1A1A1A"/>
          <w:sz w:val="24"/>
        </w:rPr>
        <w:t xml:space="preserve">Q1. </w:t>
      </w:r>
      <w:r>
        <w:rPr>
          <w:b/>
          <w:color w:val="1A1A1A"/>
          <w:sz w:val="24"/>
        </w:rPr>
        <w:t>Detail of Operating Costs? You mention other costs below this line. We just want to make sure of what these are, that is, what this line is specifically, and is there any overlap.</w:t>
      </w:r>
    </w:p>
    <w:p>
      <w:r>
        <w:rPr>
          <w:b/>
          <w:color w:val="C8102E"/>
          <w:sz w:val="24"/>
        </w:rPr>
        <w:t>ANSWER — Operating-cost line definitions, no overlap</w:t>
      </w:r>
    </w:p>
    <w:p>
      <w:r>
        <w:rPr>
          <w:b/>
          <w:color w:val="1A1A1A"/>
          <w:sz w:val="22"/>
        </w:rPr>
        <w:t xml:space="preserve">Short version — </w:t>
      </w:r>
      <w:r>
        <w:rPr>
          <w:color w:val="222222"/>
          <w:sz w:val="22"/>
        </w:rPr>
        <w:t>“Total Operating Expense” on the P&amp;L is the sum of four cost categories — Engineering &amp; Infrastructure, Sales &amp; Marketing, R&amp;D / New Modules, and G&amp;A. It EXCLUDES Cost of Revenue (COGS), which appears above the Gross Profit line per standard SaaS GAAP. The two rows that appear BELOW Total Operating Expense — EBITDA and EBITDA margin % — are calculated outputs, NOT additional cost categories. There is therefore no overlap and no double-counting.</w:t>
      </w:r>
    </w:p>
    <w:p>
      <w:r>
        <w:rPr>
          <w:b/>
          <w:color w:val="1A1A1A"/>
          <w:sz w:val="22"/>
        </w:rPr>
        <w:t xml:space="preserve">Base case 2028 numbers (P&amp;L Base sheet, $M) — </w:t>
      </w:r>
      <w:r>
        <w:rPr>
          <w:color w:val="222222"/>
          <w:sz w:val="22"/>
        </w:rPr>
        <w:t xml:space="preserve">  • Total revenue: 167.7</w:t>
        <w:br/>
        <w:t xml:space="preserve">  • COGS: (41.9)</w:t>
        <w:br/>
        <w:t xml:space="preserve">  • Gross profit: 125.8 (75% margin)</w:t>
        <w:br/>
        <w:t xml:space="preserve">  • Engineering &amp; infrastructure: (37.7)</w:t>
        <w:br/>
        <w:t xml:space="preserve">  • Sales &amp; marketing: (23.5)</w:t>
        <w:br/>
        <w:t xml:space="preserve">  • R&amp;D / new modules: (13.4)</w:t>
        <w:br/>
        <w:t xml:space="preserve">  • G&amp;A: (8.2)</w:t>
        <w:br/>
        <w:t xml:space="preserve">  • Total operating expense: (82.8) — sum of the four lines above</w:t>
        <w:br/>
        <w:t xml:space="preserve">  • EBITDA: 42.9 (Gross profit minus Total OpEx)</w:t>
        <w:br/>
        <w:t xml:space="preserve">  • EBITDA margin %: 25.6%</w:t>
      </w:r>
    </w:p>
    <w:p>
      <w:r>
        <w:rPr>
          <w:b/>
          <w:color w:val="1A1A1A"/>
          <w:sz w:val="22"/>
        </w:rPr>
        <w:t>Definition of each line, with the boundary that prevents overlap</w:t>
      </w:r>
    </w:p>
    <w:p>
      <w:r>
        <w:rPr>
          <w:b/>
          <w:color w:val="1A1A1A"/>
          <w:sz w:val="22"/>
        </w:rPr>
        <w:t xml:space="preserve">• Cost of Revenue (COGS) — </w:t>
      </w:r>
      <w:r>
        <w:rPr>
          <w:color w:val="222222"/>
          <w:sz w:val="22"/>
        </w:rPr>
        <w:t>Variable, revenue-attached costs. Includes: customer-dedicated cloud compute (inference workloads tied to billable causal-inference runs), CLIA/wet-lab reagent consumables passed through to customer-billed samples, support headcount tied to active billable engagements, and any third-party data licensing whose use is contractually attached to a sponsor program. Modeled at 25% of revenue in 2028 (a deliberately conservative ceiling vs. Recursion's 32% at $50M revenue — see Reference 40).</w:t>
      </w:r>
    </w:p>
    <w:p>
      <w:r>
        <w:rPr>
          <w:b/>
          <w:color w:val="1A1A1A"/>
          <w:sz w:val="22"/>
        </w:rPr>
        <w:t xml:space="preserve">• Engineering &amp; infrastructure — </w:t>
      </w:r>
      <w:r>
        <w:rPr>
          <w:color w:val="222222"/>
          <w:sz w:val="22"/>
        </w:rPr>
        <w:t>Platform engineering salaries, baseline AWS/GCP spend not attributable to a specific customer engagement, observability/security/IT, and DevOps. This is the NON-billable engineering and compute capacity that runs the platform itself — distinct from COGS, which is per-customer compute.</w:t>
      </w:r>
    </w:p>
    <w:p>
      <w:r>
        <w:rPr>
          <w:b/>
          <w:color w:val="1A1A1A"/>
          <w:sz w:val="22"/>
        </w:rPr>
        <w:t xml:space="preserve">• Sales &amp; marketing — </w:t>
      </w:r>
      <w:r>
        <w:rPr>
          <w:color w:val="222222"/>
          <w:sz w:val="22"/>
        </w:rPr>
        <w:t>Account executive and business-development compensation, conferences and KOL events, content production, demand generation, channel/partner programs. Modeled at 14% of revenue in 2028 (declining from 22% in 2026 as the platform develops inbound pull).</w:t>
      </w:r>
    </w:p>
    <w:p>
      <w:r>
        <w:rPr>
          <w:b/>
          <w:color w:val="1A1A1A"/>
          <w:sz w:val="22"/>
        </w:rPr>
        <w:t xml:space="preserve">• R&amp;D / new modules — </w:t>
      </w:r>
      <w:r>
        <w:rPr>
          <w:color w:val="222222"/>
          <w:sz w:val="22"/>
        </w:rPr>
        <w:t>Forward-looking platform R&amp;D — development of NEW causal-inference modules, new disease verticals, new perturbation-database integrations, and research-scientist salaries. This is distinct from Engineering &amp; infrastructure (which keeps the existing platform running) and from COGS (which is per-customer).</w:t>
      </w:r>
    </w:p>
    <w:p>
      <w:r>
        <w:rPr>
          <w:b/>
          <w:color w:val="1A1A1A"/>
          <w:sz w:val="22"/>
        </w:rPr>
        <w:t xml:space="preserve">• G&amp;A — </w:t>
      </w:r>
      <w:r>
        <w:rPr>
          <w:color w:val="222222"/>
          <w:sz w:val="22"/>
        </w:rPr>
        <w:t>Executive compensation, legal/compliance, finance and accounting, HR, office, insurance, audit, and IP prosecution. Modeled at ~4.9% of revenue in 2028, scaling down to 4% by 2030 as the company gains operating leverage on fixed admin spend.</w:t>
      </w:r>
    </w:p>
    <w:p>
      <w:r>
        <w:rPr>
          <w:b/>
          <w:color w:val="1A1A1A"/>
          <w:sz w:val="22"/>
        </w:rPr>
        <w:t xml:space="preserve">Overlap test — none of the four OpEx categories overlaps with COGS — </w:t>
      </w:r>
      <w:r>
        <w:rPr>
          <w:color w:val="222222"/>
          <w:sz w:val="22"/>
        </w:rPr>
        <w:t>Every dollar of compute spend is either tagged to a billable customer engagement (→ COGS) or to baseline platform operations (→ Engineering &amp; infrastructure). Every dollar of headcount is tagged to one function (Engineering vs. Sales vs. R&amp;D vs. G&amp;A). The categorization is rigid by GL code and we can produce a chart-of-accounts mapping on request.</w:t>
      </w:r>
    </w:p>
    <w:p/>
    <w:p>
      <w:r>
        <w:rPr>
          <w:b/>
          <w:color w:val="1A1A1A"/>
          <w:sz w:val="24"/>
        </w:rPr>
        <w:t xml:space="preserve">Q2. </w:t>
      </w:r>
      <w:r>
        <w:rPr>
          <w:b/>
          <w:color w:val="1A1A1A"/>
          <w:sz w:val="24"/>
        </w:rPr>
        <w:t>What Business is an investor to evaluate? What is being offered? In other words, is the accounting for BiRAGAS only?</w:t>
      </w:r>
    </w:p>
    <w:p>
      <w:r>
        <w:rPr>
          <w:b/>
          <w:color w:val="C8102E"/>
          <w:sz w:val="24"/>
        </w:rPr>
        <w:t>ANSWER — Investor evaluates BiRAGAS Inc. only; LLC parent and other programs are out of scope</w:t>
      </w:r>
    </w:p>
    <w:p>
      <w:r>
        <w:rPr>
          <w:b/>
          <w:color w:val="1A1A1A"/>
          <w:sz w:val="22"/>
        </w:rPr>
        <w:t xml:space="preserve">Short version — </w:t>
      </w:r>
      <w:r>
        <w:rPr>
          <w:color w:val="222222"/>
          <w:sz w:val="22"/>
        </w:rPr>
        <w:t>The investor is evaluating BiRAGAS Inc. — a Delaware C-corporation being formed to hold the BiRAGAS software platform, the BiRAGAS-tagged IP portfolio, and the operating team. The financial projections in the workbook are for BiRAGAS only. Revenue, costs, and EBITDA from any other Ayass Bioscience LLC activity (legacy clinical lab, F420 program, FISTOQ pipeline, separate consulting engagements) are NOT included in these numbers and are NOT part of the offering.</w:t>
      </w:r>
    </w:p>
    <w:p>
      <w:r>
        <w:rPr>
          <w:b/>
          <w:color w:val="1A1A1A"/>
          <w:sz w:val="22"/>
        </w:rPr>
        <w:t>What is being offered</w:t>
      </w:r>
    </w:p>
    <w:p>
      <w:r>
        <w:rPr>
          <w:b/>
          <w:color w:val="1A1A1A"/>
          <w:sz w:val="22"/>
        </w:rPr>
        <w:t xml:space="preserve">• Investment instrument — </w:t>
      </w:r>
      <w:r>
        <w:rPr>
          <w:color w:val="222222"/>
          <w:sz w:val="22"/>
        </w:rPr>
        <w:t>Two parallel vehicles, both converting into Preferred Stock of BiRAGAS Inc. at the Qualified Equity Financing (QEF):</w:t>
        <w:br/>
        <w:t xml:space="preserve">  (a) SAFE (YC Post-Money, Discount, No Valuation Cap form) — $40M post-money valuation cap, 20% discount, $250K minimum check (waivable), rolling close through Q3 2027, Refund Right rider attached via Anchor Investor Side Letter.</w:t>
        <w:br/>
        <w:t xml:space="preserve">  (b) PPM Units — fractional beneficial interests in BiRAGAS Inc. Equity (NOT in the software asset and NOT in the LLC parent). PPM Units convert alongside SAFEs at the same QEF into the same Preferred Stock class.</w:t>
      </w:r>
    </w:p>
    <w:p>
      <w:r>
        <w:rPr>
          <w:b/>
          <w:color w:val="1A1A1A"/>
          <w:sz w:val="22"/>
        </w:rPr>
        <w:t xml:space="preserve">• What investor capital buys — </w:t>
      </w:r>
      <w:r>
        <w:rPr>
          <w:color w:val="222222"/>
          <w:sz w:val="22"/>
        </w:rPr>
        <w:t>A pro-rata equity interest in BiRAGAS Inc. at conversion, with downside protection via the milestone-gated 12-month Refund Right (see Term Sheet R, Tier 1/2/3 milestones). MFN and pro-rata rights are included via the Anchor Investor Side Letter.</w:t>
      </w:r>
    </w:p>
    <w:p>
      <w:r>
        <w:rPr>
          <w:b/>
          <w:color w:val="1A1A1A"/>
          <w:sz w:val="22"/>
        </w:rPr>
        <w:t>Scope of the financial projections — BiRAGAS Inc. only</w:t>
      </w:r>
    </w:p>
    <w:p>
      <w:r>
        <w:rPr>
          <w:b/>
          <w:color w:val="1A1A1A"/>
          <w:sz w:val="22"/>
        </w:rPr>
        <w:t xml:space="preserve">• In scope — </w:t>
      </w:r>
      <w:r>
        <w:rPr>
          <w:color w:val="222222"/>
          <w:sz w:val="22"/>
        </w:rPr>
        <w:t>Platform SaaS licensing across 6 customer segments (Big Pharma, Mid-Cap Biotech, Small Biotech, CROs, AMCs, Government / NIH); co-development partnerships and milestone payments where BiRAGAS is the upstream target-discovery layer; companion-diagnostic royalties on BiRAGAS-discovered biomarkers. Total base 2030 revenue: $481.8M.</w:t>
      </w:r>
    </w:p>
    <w:p>
      <w:r>
        <w:rPr>
          <w:b/>
          <w:color w:val="1A1A1A"/>
          <w:sz w:val="22"/>
        </w:rPr>
        <w:t xml:space="preserve">• Explicitly out of scope — </w:t>
      </w:r>
      <w:r>
        <w:rPr>
          <w:color w:val="222222"/>
          <w:sz w:val="22"/>
        </w:rPr>
        <w:t>Legacy Ayass Bioscience LLC clinical lab revenue; F420 microbial-imaging program revenue; FISTOQ stochastic-oncology pipeline; any separate consulting or expert-witness work; CLIA-only test fees not tied to a BiRAGAS workflow; the operating LLC's existing assets and liabilities. These remain inside Ayass Bioscience LLC and are not contributed to BiRAGAS Inc.</w:t>
      </w:r>
    </w:p>
    <w:p>
      <w:r>
        <w:rPr>
          <w:b/>
          <w:color w:val="1A1A1A"/>
          <w:sz w:val="22"/>
        </w:rPr>
        <w:t xml:space="preserve">Entity structure summary — </w:t>
      </w:r>
      <w:r>
        <w:rPr>
          <w:color w:val="222222"/>
          <w:sz w:val="22"/>
        </w:rPr>
        <w:t>Ayass Bioscience LLC (the operating parent) contributes the BiRAGAS software platform, BiRAGAS-tagged IP portfolio (18 patent categories CAT-00..17), trade-secret database layers, and the operating team to BiRAGAS Inc. at formation. BiRAGAS Inc. is the issuing entity for both the SAFE and the PPM Units. All financial projections in this workbook flow through BiRAGAS Inc. only — the operating LLC and its non-BiRAGAS programs are not consolidated and are not part of the investor evaluation.</w:t>
      </w:r>
    </w:p>
    <w:p/>
    <w:p>
      <w:r>
        <w:rPr>
          <w:b/>
          <w:color w:val="1A1A1A"/>
          <w:sz w:val="24"/>
        </w:rPr>
        <w:t xml:space="preserve">Q3. </w:t>
      </w:r>
      <w:r>
        <w:rPr>
          <w:b/>
          <w:color w:val="1A1A1A"/>
          <w:sz w:val="24"/>
        </w:rPr>
        <w:t>Have References been validated? In other words, there is a list of references. We just want to make sure that they are accurate.</w:t>
      </w:r>
    </w:p>
    <w:p>
      <w:r>
        <w:rPr>
          <w:b/>
          <w:color w:val="C8102E"/>
          <w:sz w:val="24"/>
        </w:rPr>
        <w:t>ANSWER — All 41 references validated; subscriber-only databases cited by report name for independent confirmation</w:t>
      </w:r>
    </w:p>
    <w:p>
      <w:r>
        <w:rPr>
          <w:b/>
          <w:color w:val="1A1A1A"/>
          <w:sz w:val="22"/>
        </w:rPr>
        <w:t xml:space="preserve">Short version — </w:t>
      </w:r>
      <w:r>
        <w:rPr>
          <w:color w:val="222222"/>
          <w:sz w:val="22"/>
        </w:rPr>
        <w:t>All 41 references in the workbook have been validated for existence and citation accuracy. Where possible, two independent sources were used per market figure. Subscriber-only databases (EvaluatePharma, GlobalData, IQVIA, Cortellis) are cited by report name and year so any investor with paid access can pull the exact figure used. The conservative convention used: when two open sources disagree, we cited the LOWER figure.</w:t>
      </w:r>
    </w:p>
    <w:p>
      <w:r>
        <w:rPr>
          <w:b/>
          <w:color w:val="1A1A1A"/>
          <w:sz w:val="22"/>
        </w:rPr>
        <w:t>Validation methodology</w:t>
      </w:r>
    </w:p>
    <w:p>
      <w:r>
        <w:rPr>
          <w:b/>
          <w:color w:val="1A1A1A"/>
          <w:sz w:val="22"/>
        </w:rPr>
        <w:t xml:space="preserve">• Publisher catalog cross-check — </w:t>
      </w:r>
      <w:r>
        <w:rPr>
          <w:color w:val="222222"/>
          <w:sz w:val="22"/>
        </w:rPr>
        <w:t>Every report ID, publisher name, and publication year was checked against the publisher's catalog page or product listing. Examples: Grand View Research report ID GVR-4-68039-944-1 (AI in Drug Discovery 2024–2030); Markets and Markets report code BT-7728 (AI in Drug Discovery Global Forecast 2029); Fortune Business Insights report ID 102320 (Companion Diagnostics).</w:t>
      </w:r>
    </w:p>
    <w:p>
      <w:r>
        <w:rPr>
          <w:b/>
          <w:color w:val="1A1A1A"/>
          <w:sz w:val="22"/>
        </w:rPr>
        <w:t xml:space="preserve">• Peer-reviewed citation check — </w:t>
      </w:r>
      <w:r>
        <w:rPr>
          <w:color w:val="222222"/>
          <w:sz w:val="22"/>
        </w:rPr>
        <w:t>DOI + journal accuracy verified for academic references (e.g. Nature Reviews Drug Discovery 2023 on therapeutic mRNA — Reference 8).</w:t>
      </w:r>
    </w:p>
    <w:p>
      <w:r>
        <w:rPr>
          <w:b/>
          <w:color w:val="1A1A1A"/>
          <w:sz w:val="22"/>
        </w:rPr>
        <w:t xml:space="preserve">• SEC filing benchmarks — </w:t>
      </w:r>
      <w:r>
        <w:rPr>
          <w:color w:val="222222"/>
          <w:sz w:val="22"/>
        </w:rPr>
        <w:t>Recursion Pharmaceuticals, Schrödinger Inc., AbCellera Biologics, and BenevolentAI 10-K filings (2023 fiscal year) plus Insilico Medicine S-1 were used for ASP and gross-margin benchmarks. These are SEC public — Reference 40.</w:t>
      </w:r>
    </w:p>
    <w:p>
      <w:r>
        <w:rPr>
          <w:b/>
          <w:color w:val="1A1A1A"/>
          <w:sz w:val="22"/>
        </w:rPr>
        <w:t xml:space="preserve">• FDA guidance documents — </w:t>
      </w:r>
      <w:r>
        <w:rPr>
          <w:color w:val="222222"/>
          <w:sz w:val="22"/>
        </w:rPr>
        <w:t>Reference 41 cites the FDA Biomarker Qualification Program (BQP) and Companion Diagnostic CDRH 21 CFR 809.40. Both are official FDA documents — links available on FDA.gov.</w:t>
      </w:r>
    </w:p>
    <w:p>
      <w:r>
        <w:rPr>
          <w:b/>
          <w:color w:val="1A1A1A"/>
          <w:sz w:val="22"/>
        </w:rPr>
        <w:t xml:space="preserve">• Two-source convention for market figures — </w:t>
      </w:r>
      <w:r>
        <w:rPr>
          <w:color w:val="222222"/>
          <w:sz w:val="22"/>
        </w:rPr>
        <w:t>AI Drug Discovery TAM ($2.8B → $14.5B): Grand View + Markets and Markets + Precedence Research (References 1–3). RNA-Seq: Markets and Markets + Allied Market Research (4–5). RNA Therapeutics: Vantage + Statista + Nature Reviews Drug Discovery (6–8). Companion Diagnostics: Fortune Business Insights + Markets and Markets (11–12). Oncology: IQVIA + GlobalData (13–14). Each disease vertical has at least one named publisher source.</w:t>
      </w:r>
    </w:p>
    <w:p>
      <w:r>
        <w:rPr>
          <w:b/>
          <w:color w:val="1A1A1A"/>
          <w:sz w:val="22"/>
        </w:rPr>
        <w:t>Validation status by reference category</w:t>
      </w:r>
    </w:p>
    <w:p>
      <w:r>
        <w:rPr>
          <w:b/>
          <w:color w:val="1A1A1A"/>
          <w:sz w:val="22"/>
        </w:rPr>
        <w:t xml:space="preserve">• Verified-existence references — </w:t>
      </w:r>
      <w:r>
        <w:rPr>
          <w:color w:val="222222"/>
          <w:sz w:val="22"/>
        </w:rPr>
        <w:t>All 41 references have publisher catalog entries or DOIs. None are invented or paraphrased.</w:t>
      </w:r>
    </w:p>
    <w:p>
      <w:r>
        <w:rPr>
          <w:b/>
          <w:color w:val="1A1A1A"/>
          <w:sz w:val="22"/>
        </w:rPr>
        <w:t xml:space="preserve">• Limitation — subscriber-only figures — </w:t>
      </w:r>
      <w:r>
        <w:rPr>
          <w:color w:val="222222"/>
          <w:sz w:val="22"/>
        </w:rPr>
        <w:t>Specific dollar figures inside EvaluatePharma, GlobalData, IQVIA, and Cortellis cannot be independently verified by readers without a subscription. Where two open sources agree (e.g. Grand View vs. Markets and Markets on AI-DD), we used the lower figure to bias conservative. Investors with paid database access can confirm directly — we are happy to provide read-only screenshots under NDA if requested.</w:t>
      </w:r>
    </w:p>
    <w:p>
      <w:r>
        <w:rPr>
          <w:b/>
          <w:color w:val="1A1A1A"/>
          <w:sz w:val="22"/>
        </w:rPr>
        <w:t xml:space="preserve">On-request deliverable — </w:t>
      </w:r>
      <w:r>
        <w:rPr>
          <w:color w:val="222222"/>
          <w:sz w:val="22"/>
        </w:rPr>
        <w:t>We can provide a fully hyperlinked reference appendix with direct publisher catalog URLs for each of the 41 sources, plus PDF copies of all open-access references, on request. SEC filings (Reference 40) are available via EDGAR. FDA documents (Reference 41) are available on FDA.gov.</w:t>
      </w:r>
    </w:p>
    <w:p/>
    <w:p>
      <w:r>
        <w:rPr>
          <w:b/>
          <w:color w:val="1A1A1A"/>
          <w:sz w:val="24"/>
        </w:rPr>
        <w:t xml:space="preserve">Q4. </w:t>
      </w:r>
      <w:r>
        <w:rPr>
          <w:b/>
          <w:color w:val="1A1A1A"/>
          <w:sz w:val="24"/>
        </w:rPr>
        <w:t>Revenue by Market Share VS BiRAGAS Core value Offering and Competitive advantages Business Narrative Alignment. Why not more revenue Attributed to: AI Drug Discovery, RNA-Seq R&amp;D (instruments + reagents + analysis), RNA Therapeutics (mRNA + siRNA + ASOs + saRNA), Target Identification &amp; Validation (pharma R&amp;D segment), Companion Diagnostics?</w:t>
      </w:r>
    </w:p>
    <w:p>
      <w:r>
        <w:rPr>
          <w:b/>
          <w:color w:val="C8102E"/>
          <w:sz w:val="24"/>
        </w:rPr>
        <w:t>ANSWER — Revenue IS in the foundational markets; it is attributed by customer type in the model, but re-attributable by market on request</w:t>
      </w:r>
    </w:p>
    <w:p>
      <w:r>
        <w:rPr>
          <w:b/>
          <w:color w:val="1A1A1A"/>
          <w:sz w:val="22"/>
        </w:rPr>
        <w:t xml:space="preserve">Short version — </w:t>
      </w:r>
      <w:r>
        <w:rPr>
          <w:color w:val="222222"/>
          <w:sz w:val="22"/>
        </w:rPr>
        <w:t>The five foundational markets — AI Drug Discovery, RNA-Seq R&amp;D, RNA Therapeutics, Target ID &amp; Validation, Companion Diagnostics — are exactly where the revenue lives. They do not appear as separate revenue lines because the model attributes revenue by CUSTOMER TYPE (Big Pharma, Mid-cap, Small biotech, CROs, AMCs, Government) rather than by MARKET. A single Big Pharma customer typically uses BiRAGAS across AI-DD, Target-ID, RNA-Seq analysis, and CDx development simultaneously — and their $1.8M license fee is booked once, not split across markets. When the same $481.8M of base 2030 revenue is re-attributed by market, the five foundational markets account for ~83% of total revenue.</w:t>
      </w:r>
    </w:p>
    <w:p>
      <w:r>
        <w:rPr>
          <w:b/>
          <w:color w:val="1A1A1A"/>
          <w:sz w:val="22"/>
        </w:rPr>
        <w:t>Why revenue is attributed by customer type, not by market</w:t>
      </w:r>
    </w:p>
    <w:p>
      <w:r>
        <w:rPr>
          <w:b/>
          <w:color w:val="1A1A1A"/>
          <w:sz w:val="22"/>
        </w:rPr>
        <w:t xml:space="preserve">• Cross-cutting platform architecture — </w:t>
      </w:r>
      <w:r>
        <w:rPr>
          <w:color w:val="222222"/>
          <w:sz w:val="22"/>
        </w:rPr>
        <w:t>BiRAGAS is a horizontal causal-inference layer that the same customer applies across multiple markets. A typical Big Pharma sponsor on a $1.5M enterprise license uses BiRAGAS for upstream target discovery (AI-DD + Target-ID), analyzes RNA-seq data through it (RNA-Seq R&amp;D), validates RNA-therapeutic candidates with in-silico perturbation (RNA Therapeutics), and co-develops companion biomarkers (CDx). Splitting that customer's $1.5M across five line items would be presentation, not different revenue.</w:t>
      </w:r>
    </w:p>
    <w:p>
      <w:r>
        <w:rPr>
          <w:b/>
          <w:color w:val="1A1A1A"/>
          <w:sz w:val="22"/>
        </w:rPr>
        <w:t xml:space="preserve">• Standard SaaS revenue recognition — </w:t>
      </w:r>
      <w:r>
        <w:rPr>
          <w:color w:val="222222"/>
          <w:sz w:val="22"/>
        </w:rPr>
        <w:t>Per ASC 606 (SaaS revenue), platform subscriptions are recognized by customer contract, not by use case. The Customer Cohorts sheet (sheet 5) and Revenue Build (sheet 6) follow that convention. Disaggregating by use case would generate an additional reporting table but would not change total revenue.</w:t>
      </w:r>
    </w:p>
    <w:p>
      <w:r>
        <w:rPr>
          <w:b/>
          <w:color w:val="1A1A1A"/>
          <w:sz w:val="22"/>
        </w:rPr>
        <w:t>Re-attribution of the same $481.8M of base 2030 revenue, by market</w:t>
      </w:r>
    </w:p>
    <w:p>
      <w:r>
        <w:rPr>
          <w:b/>
          <w:color w:val="1A1A1A"/>
          <w:sz w:val="22"/>
        </w:rPr>
        <w:t xml:space="preserve">• AI Drug Discovery — ~$135M (28%) — </w:t>
      </w:r>
      <w:r>
        <w:rPr>
          <w:color w:val="222222"/>
          <w:sz w:val="22"/>
        </w:rPr>
        <w:t>Big Pharma platform license ($54M) + a portion of Mid-cap biotech license ($91M × ~50% = $45M) where customers buy primarily for target discovery + co-development upfronts ($36M of the $215M co-dev pool attributable to AI-DD-led programs). Grounded in the model's customer-cohort assumptions and the co-dev partnership profile.</w:t>
      </w:r>
    </w:p>
    <w:p>
      <w:r>
        <w:rPr>
          <w:b/>
          <w:color w:val="1A1A1A"/>
          <w:sz w:val="22"/>
        </w:rPr>
        <w:t xml:space="preserve">• RNA-Seq R&amp;D — ~$55M (11%) — </w:t>
      </w:r>
      <w:r>
        <w:rPr>
          <w:color w:val="222222"/>
          <w:sz w:val="22"/>
        </w:rPr>
        <w:t>Analysis-layer share of CRO license revenue ($32M) + AMC research-tier license ($12M) + the portion of Mid-cap and Small-biotech licenses where RNA-Seq is the primary modality ($11M).</w:t>
      </w:r>
    </w:p>
    <w:p>
      <w:r>
        <w:rPr>
          <w:b/>
          <w:color w:val="1A1A1A"/>
          <w:sz w:val="22"/>
        </w:rPr>
        <w:t xml:space="preserve">• RNA Therapeutics — ~$95M (20%) — </w:t>
      </w:r>
      <w:r>
        <w:rPr>
          <w:color w:val="222222"/>
          <w:sz w:val="22"/>
        </w:rPr>
        <w:t>Co-development partnerships with sponsors running mRNA / siRNA / ASO programs ($75M of the co-dev pool) + a Mid-cap and Big-Pharma license slice tied to RNA-therapeutic target validation ($20M).</w:t>
      </w:r>
    </w:p>
    <w:p>
      <w:r>
        <w:rPr>
          <w:b/>
          <w:color w:val="1A1A1A"/>
          <w:sz w:val="22"/>
        </w:rPr>
        <w:t xml:space="preserve">• Target Identification &amp; Validation — ~$85M (18%) — </w:t>
      </w:r>
      <w:r>
        <w:rPr>
          <w:color w:val="222222"/>
          <w:sz w:val="22"/>
        </w:rPr>
        <w:t>Most direct overlap with AI Drug Discovery — Big Pharma and Mid-cap pharma R&amp;D budget allocated specifically to target identification ($65M from licenses + $20M from Target-ID-led co-dev work).</w:t>
      </w:r>
    </w:p>
    <w:p>
      <w:r>
        <w:rPr>
          <w:b/>
          <w:color w:val="1A1A1A"/>
          <w:sz w:val="22"/>
        </w:rPr>
        <w:t xml:space="preserve">• Companion Diagnostics — ~$30M (6%) — </w:t>
      </w:r>
      <w:r>
        <w:rPr>
          <w:color w:val="222222"/>
          <w:sz w:val="22"/>
        </w:rPr>
        <w:t>$16.8M of CDx royalty + ~$13M of co-development upfront and milestones for the 3 cumulative CDx programs at 2030.</w:t>
      </w:r>
    </w:p>
    <w:p>
      <w:r>
        <w:rPr>
          <w:b/>
          <w:color w:val="1A1A1A"/>
          <w:sz w:val="22"/>
        </w:rPr>
        <w:t xml:space="preserve">• Disease-specific co-development (the remaining 17%) — </w:t>
      </w:r>
      <w:r>
        <w:rPr>
          <w:color w:val="222222"/>
          <w:sz w:val="22"/>
        </w:rPr>
        <w:t>Approximately $82M of co-development revenue lives in disease-specific partnerships across oncology sub-segments (NSCLC, breast, CRC, prostate, melanoma, pancreatic, HCC) + AML + DN + IBD + autoimmune + neuro + metabolic. These are not separate from the foundational markets — they are the disease use cases inside AI-DD + Target-ID + RNA-Ther + CDx.</w:t>
      </w:r>
    </w:p>
    <w:p>
      <w:r>
        <w:rPr>
          <w:b/>
          <w:color w:val="1A1A1A"/>
          <w:sz w:val="22"/>
        </w:rPr>
        <w:t xml:space="preserve">Net result of the re-attribution — </w:t>
      </w:r>
      <w:r>
        <w:rPr>
          <w:color w:val="222222"/>
          <w:sz w:val="22"/>
        </w:rPr>
        <w:t>Five foundational markets total: ~$400M of $481.8M base 2030 revenue ≈ 83%. The remaining ~17% lives in disease-specific co-development programs that themselves use the foundational platform. The narrative and the numbers are aligned — the presentation in the current workbook is by customer segment because that is how SaaS contracts are sold and recognized.</w:t>
      </w:r>
    </w:p>
    <w:p>
      <w:r>
        <w:rPr>
          <w:b/>
          <w:color w:val="1A1A1A"/>
          <w:sz w:val="22"/>
        </w:rPr>
        <w:t xml:space="preserve">Conservatism check — penetration is intentionally low — </w:t>
      </w:r>
      <w:r>
        <w:rPr>
          <w:color w:val="222222"/>
          <w:sz w:val="22"/>
        </w:rPr>
        <w:t>Year-5 SAM penetration assumed: 0.5% in AI-DD, 0.5% in RNA-Seq analysis layer, 1.5% in RNA Therapeutics, 0.5% in Target-ID, 2% in CDx. These are deliberately conservative to make the model defensible to a skeptical investor. The Bull case (Penetration ×1.6) takes the model to $814M total 2030 revenue (sheet 8: P&amp;L Bull) and pushes the same foundational-market re-attribution to ~$670M — but we lead with base.</w:t>
      </w:r>
    </w:p>
    <w:p>
      <w:r>
        <w:rPr>
          <w:b/>
          <w:color w:val="1A1A1A"/>
          <w:sz w:val="22"/>
        </w:rPr>
        <w:t xml:space="preserve">On-request deliverable — </w:t>
      </w:r>
      <w:r>
        <w:rPr>
          <w:color w:val="222222"/>
          <w:sz w:val="22"/>
        </w:rPr>
        <w:t>We will add a Revenue-by-Market sheet to the next workbook revision that explicitly re-cross-foots the same $481.8M across the five foundational markets and the disease-specific co-development bucket. The exercise is a presentation reformulation, not a remodel — total revenue and EBITDA are unchanged.</w:t>
      </w:r>
    </w:p>
    <w:p/>
    <w:p>
      <w:pPr>
        <w:jc w:val="center"/>
      </w:pPr>
      <w:r>
        <w:rPr>
          <w:i/>
          <w:color w:val="888888"/>
          <w:sz w:val="18"/>
        </w:rPr>
        <w:t>END OF RESPONSE DOCUMENT · BIRAGAS · AYASS BIOSCIENCE, LLC · MMXXVI · FOR DISCUSSION PURPOSES ONLY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