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666666"/>
          <w:sz w:val="18"/>
        </w:rPr>
        <w:t>AYASS BIOSCIENCE · BIRAGAS PLATFORM</w:t>
      </w:r>
    </w:p>
    <w:p>
      <w:r>
        <w:rPr>
          <w:b/>
          <w:i w:val="0"/>
          <w:color w:val="1A1A1A"/>
          <w:sz w:val="40"/>
        </w:rPr>
        <w:t>BiRAGAS Financial Projections — v2 Revision</w:t>
      </w:r>
    </w:p>
    <w:p>
      <w:r>
        <w:rPr>
          <w:b w:val="0"/>
          <w:i/>
          <w:color w:val="666666"/>
          <w:sz w:val="22"/>
        </w:rPr>
        <w:t>5 Revenue Streams · 30 Markets · 5-Year P&amp;L · Base / Bull / Bear</w:t>
      </w:r>
    </w:p>
    <w:p>
      <w:r>
        <w:rPr>
          <w:b w:val="0"/>
          <w:i w:val="0"/>
          <w:color w:val="666666"/>
          <w:sz w:val="18"/>
        </w:rPr>
        <w:t>Ayass Bioscience, LLC · Texas · 2026-05-25 (v2) · CONFIDENTIAL · NDA</w:t>
      </w:r>
    </w:p>
    <w:p/>
    <w:p>
      <w:r>
        <w:rPr>
          <w:b/>
          <w:color w:val="C8102E"/>
          <w:sz w:val="24"/>
        </w:rPr>
        <w:t>WHAT CHANGED IN V2</w:t>
      </w:r>
    </w:p>
    <w:p>
      <w:r>
        <w:rPr>
          <w:b w:val="0"/>
          <w:i w:val="0"/>
          <w:color w:val="222222"/>
          <w:sz w:val="22"/>
        </w:rPr>
        <w:t>This v2 revision incorporates direct investor feedback from F(2)_R (2026-05-25). Three substantive changes:</w:t>
      </w:r>
    </w:p>
    <w:p>
      <w:r>
        <w:rPr>
          <w:b/>
          <w:color w:val="1A1A1A"/>
          <w:sz w:val="22"/>
        </w:rPr>
        <w:t xml:space="preserve">1. AI Drug Discovery market — both definitions — </w:t>
      </w:r>
      <w:r>
        <w:rPr>
          <w:color w:val="222222"/>
          <w:sz w:val="22"/>
        </w:rPr>
        <w:t>v1 sized only the narrow AI-DD platform-tools market ($2.8B → $14.5B by 2030). v2 carries both the narrow definition AND the broad pharma external R&amp;D AI spend definition ($5.5B → $50B by 2030 per McKinsey, Deloitte, and BCG). The broad envelope is ~3.4× larger and is the true market BiRAGAS plays in. Both numbers appear on the Markets sheet.</w:t>
      </w:r>
    </w:p>
    <w:p>
      <w:r>
        <w:rPr>
          <w:b/>
          <w:color w:val="1A1A1A"/>
          <w:sz w:val="22"/>
        </w:rPr>
        <w:t xml:space="preserve">2. LDT / Diagnostic Test revenue stream added — </w:t>
      </w:r>
      <w:r>
        <w:rPr>
          <w:color w:val="222222"/>
          <w:sz w:val="22"/>
        </w:rPr>
        <w:t>v1 modeled three streams (SaaS license, Co-dev milestones, CDx royalty). v2 adds a fourth stream: LDT per-patient utilization revenue across 10 disease-specific test lines (AML stratification at $1,800/test, DKD progression risk at $650/test, Non-healing wound at $850/test, IO response predictor for melanoma at $1,200/test, Biologic responder for autoimmune at $1,400/test, plus 5 additional lines). Base 2030: $95M. Gross margin 67%. Sourced from BiRAGAS_Utilization workbook.</w:t>
      </w:r>
    </w:p>
    <w:p>
      <w:r>
        <w:rPr>
          <w:b/>
          <w:color w:val="1A1A1A"/>
          <w:sz w:val="22"/>
        </w:rPr>
        <w:t xml:space="preserve">3. Consumer Wellness revenue stream added — </w:t>
      </w:r>
      <w:r>
        <w:rPr>
          <w:color w:val="222222"/>
          <w:sz w:val="22"/>
        </w:rPr>
        <w:t>v2 adds a fifth stream: DTC + clinic + concierge consumer wellness. DTC BiRAGAS Wellness Subscription ($199/mo × 9,200 subscribers by Y5), Longevity Clinic White-Label (250 clinics at $35–55K/yr), Wellness Brand API, HNW Concierge ($50K/yr). Base 2030: $30M. Gross margin 72%. Requires ~$15M Y5 of consumer-channel S&amp;M (new line in OpEx).</w:t>
      </w:r>
    </w:p>
    <w:p>
      <w:r>
        <w:rPr>
          <w:b/>
          <w:color w:val="1A1A1A"/>
          <w:sz w:val="22"/>
        </w:rPr>
        <w:t xml:space="preserve">4. Three new verticals added to market list — </w:t>
      </w:r>
      <w:r>
        <w:rPr>
          <w:color w:val="222222"/>
          <w:sz w:val="22"/>
        </w:rPr>
        <w:t>Wound Care + AMR (TAM $24.5B → $41.8B; 6.5M US chronic non-healing wound patients; AMR economic toll $90B by 2030). Wellness / Longevity (Global wellness economy $5.6T → $8.5T; longevity sub-segment $27B → $63B). Agentic AI / Enterprise (TAM $7.5B → $85B by 2030, CAGR 50%; BiRAGAS's hallucination shield + 23 causality modules licensable outside biology). Market list expands from 27 → 30.</w:t>
      </w:r>
    </w:p>
    <w:p/>
    <w:p>
      <w:r>
        <w:rPr>
          <w:b/>
          <w:color w:val="C8102E"/>
          <w:sz w:val="24"/>
        </w:rPr>
        <w:t>HEADLINE NUMBERS — V2 BASE CASE</w:t>
      </w:r>
    </w:p>
    <w:p>
      <w:r>
        <w:rPr>
          <w:b/>
          <w:color w:val="1A1A1A"/>
          <w:sz w:val="22"/>
        </w:rPr>
        <w:t xml:space="preserve">Base 2030 revenue — </w:t>
      </w:r>
      <w:r>
        <w:rPr>
          <w:color w:val="222222"/>
          <w:sz w:val="22"/>
        </w:rPr>
        <w:t>$618.8M (vs. v1 $481.8M — incremental from LDT $95M + Consumer $30M with minor co-dev/CDx re-cross)</w:t>
      </w:r>
    </w:p>
    <w:p>
      <w:r>
        <w:rPr>
          <w:b/>
          <w:color w:val="1A1A1A"/>
          <w:sz w:val="22"/>
        </w:rPr>
        <w:t xml:space="preserve">Base 2030 EBITDA — </w:t>
      </w:r>
      <w:r>
        <w:rPr>
          <w:color w:val="222222"/>
          <w:sz w:val="22"/>
        </w:rPr>
        <w:t>$248.8M (40.2% margin) — slightly lower margin than v1 (41%) because LDT GM (67%) and Consumer GM (72%) are below SaaS GM (85%)</w:t>
      </w:r>
    </w:p>
    <w:p>
      <w:r>
        <w:rPr>
          <w:b/>
          <w:color w:val="1A1A1A"/>
          <w:sz w:val="22"/>
        </w:rPr>
        <w:t xml:space="preserve">Base 2028 inflection (the year EBITDA turns the corner) — </w:t>
      </w:r>
      <w:r>
        <w:rPr>
          <w:color w:val="222222"/>
          <w:sz w:val="22"/>
        </w:rPr>
        <w:t>Revenue $209.7M · EBITDA $58.1M (27.7% margin) — higher than v1 ($43M) because LDT + Consumer add revenue while platform OpEx is largely fixed</w:t>
      </w:r>
    </w:p>
    <w:p>
      <w:r>
        <w:rPr>
          <w:b/>
          <w:color w:val="1A1A1A"/>
          <w:sz w:val="22"/>
        </w:rPr>
        <w:t xml:space="preserve">Bull 2030 — </w:t>
      </w:r>
      <w:r>
        <w:rPr>
          <w:color w:val="222222"/>
          <w:sz w:val="22"/>
        </w:rPr>
        <w:t>$998.3M revenue · $441.3M EBITDA (44.2% margin) — 1.6× customer count + 1.8× consumer adoption + improved cost ratios</w:t>
      </w:r>
    </w:p>
    <w:p>
      <w:r>
        <w:rPr>
          <w:b/>
          <w:color w:val="1A1A1A"/>
          <w:sz w:val="22"/>
        </w:rPr>
        <w:t xml:space="preserve">Bear 2030 — </w:t>
      </w:r>
      <w:r>
        <w:rPr>
          <w:color w:val="222222"/>
          <w:sz w:val="22"/>
        </w:rPr>
        <w:t>$313.6M revenue · $110.4M EBITDA (35.2% margin) — 0.55× customer count + 0.35× consumer + worse cost ratios</w:t>
      </w:r>
    </w:p>
    <w:p/>
    <w:p>
      <w:r>
        <w:rPr>
          <w:b/>
          <w:color w:val="1A1A1A"/>
          <w:sz w:val="24"/>
        </w:rPr>
        <w:t>V2 BASE P&amp;L — 5-YEAR INCOME STATEMENT ($M)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 item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608"/>
          </w:tcPr>
          <w:p>
            <w:r>
              <w:t>SaaS revenue</w:t>
            </w:r>
          </w:p>
        </w:tc>
        <w:tc>
          <w:tcPr>
            <w:tcW w:type="dxa" w:w="1608"/>
          </w:tcPr>
          <w:p>
            <w:r>
              <w:t>21.4</w:t>
            </w:r>
          </w:p>
        </w:tc>
        <w:tc>
          <w:tcPr>
            <w:tcW w:type="dxa" w:w="1608"/>
          </w:tcPr>
          <w:p>
            <w:r>
              <w:t>52.9</w:t>
            </w:r>
          </w:p>
        </w:tc>
        <w:tc>
          <w:tcPr>
            <w:tcW w:type="dxa" w:w="1608"/>
          </w:tcPr>
          <w:p>
            <w:r>
              <w:t>105.5</w:t>
            </w:r>
          </w:p>
        </w:tc>
        <w:tc>
          <w:tcPr>
            <w:tcW w:type="dxa" w:w="1608"/>
          </w:tcPr>
          <w:p>
            <w:r>
              <w:t>165.8</w:t>
            </w:r>
          </w:p>
        </w:tc>
        <w:tc>
          <w:tcPr>
            <w:tcW w:type="dxa" w:w="1608"/>
          </w:tcPr>
          <w:p>
            <w:r>
              <w:t>250.0</w:t>
            </w:r>
          </w:p>
        </w:tc>
      </w:tr>
      <w:tr>
        <w:tc>
          <w:tcPr>
            <w:tcW w:type="dxa" w:w="1608"/>
          </w:tcPr>
          <w:p>
            <w:r>
              <w:t>Co-dev revenue</w:t>
            </w:r>
          </w:p>
        </w:tc>
        <w:tc>
          <w:tcPr>
            <w:tcW w:type="dxa" w:w="1608"/>
          </w:tcPr>
          <w:p>
            <w:r>
              <w:t>5.0</w:t>
            </w:r>
          </w:p>
        </w:tc>
        <w:tc>
          <w:tcPr>
            <w:tcW w:type="dxa" w:w="1608"/>
          </w:tcPr>
          <w:p>
            <w:r>
              <w:t>23.0</w:t>
            </w:r>
          </w:p>
        </w:tc>
        <w:tc>
          <w:tcPr>
            <w:tcW w:type="dxa" w:w="1608"/>
          </w:tcPr>
          <w:p>
            <w:r>
              <w:t>61.0</w:t>
            </w:r>
          </w:p>
        </w:tc>
        <w:tc>
          <w:tcPr>
            <w:tcW w:type="dxa" w:w="1608"/>
          </w:tcPr>
          <w:p>
            <w:r>
              <w:t>129.0</w:t>
            </w:r>
          </w:p>
        </w:tc>
        <w:tc>
          <w:tcPr>
            <w:tcW w:type="dxa" w:w="1608"/>
          </w:tcPr>
          <w:p>
            <w:r>
              <w:t>215.0</w:t>
            </w:r>
          </w:p>
        </w:tc>
      </w:tr>
      <w:tr>
        <w:tc>
          <w:tcPr>
            <w:tcW w:type="dxa" w:w="1608"/>
          </w:tcPr>
          <w:p>
            <w:r>
              <w:t>CDx royalty revenue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1.2</w:t>
            </w:r>
          </w:p>
        </w:tc>
        <w:tc>
          <w:tcPr>
            <w:tcW w:type="dxa" w:w="1608"/>
          </w:tcPr>
          <w:p>
            <w:r>
              <w:t>6.0</w:t>
            </w:r>
          </w:p>
        </w:tc>
        <w:tc>
          <w:tcPr>
            <w:tcW w:type="dxa" w:w="1608"/>
          </w:tcPr>
          <w:p>
            <w:r>
              <w:t>16.8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LDT diagnostic revenue (NEW v2)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13.3</w:t>
            </w:r>
          </w:p>
        </w:tc>
        <w:tc>
          <w:tcPr>
            <w:tcW w:type="dxa" w:w="1608"/>
          </w:tcPr>
          <w:p>
            <w:r>
              <w:rPr>
                <w:b/>
              </w:rPr>
              <w:t>33.0</w:t>
            </w:r>
          </w:p>
        </w:tc>
        <w:tc>
          <w:tcPr>
            <w:tcW w:type="dxa" w:w="1608"/>
          </w:tcPr>
          <w:p>
            <w:r>
              <w:rPr>
                <w:b/>
              </w:rPr>
              <w:t>62.0</w:t>
            </w:r>
          </w:p>
        </w:tc>
        <w:tc>
          <w:tcPr>
            <w:tcW w:type="dxa" w:w="1608"/>
          </w:tcPr>
          <w:p>
            <w:r>
              <w:rPr>
                <w:b/>
              </w:rPr>
              <w:t>95.0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Consumer wellness revenue (NEW v2)</w:t>
            </w:r>
          </w:p>
        </w:tc>
        <w:tc>
          <w:tcPr>
            <w:tcW w:type="dxa" w:w="1608"/>
          </w:tcPr>
          <w:p>
            <w:r>
              <w:rPr>
                <w:b/>
              </w:rPr>
              <w:t>0.4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2.8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9.0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24.5</w:t>
            </w:r>
          </w:p>
        </w:tc>
        <w:tc>
          <w:tcPr>
            <w:tcW w:type="dxa" w:w="1608"/>
          </w:tcPr>
          <w:p>
            <w:r>
              <w:rPr>
                <w:b/>
              </w:rPr>
              <w:t>42.0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Total revenue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29.2</w:t>
            </w:r>
          </w:p>
        </w:tc>
        <w:tc>
          <w:tcPr>
            <w:tcW w:type="dxa" w:w="1608"/>
          </w:tcPr>
          <w:p>
            <w:r>
              <w:rPr>
                <w:b/>
              </w:rPr>
              <w:t>91.9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209.7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387.4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618.8</w:t>
            </w:r>
          </w:p>
        </w:tc>
      </w:tr>
      <w:tr>
        <w:tc>
          <w:tcPr>
            <w:tcW w:type="dxa" w:w="1608"/>
          </w:tcPr>
          <w:p>
            <w:r>
              <w:t>COGS</w:t>
            </w:r>
          </w:p>
        </w:tc>
        <w:tc>
          <w:tcPr>
            <w:tcW w:type="dxa" w:w="1608"/>
          </w:tcPr>
          <w:p>
            <w:r>
              <w:t>-12.3</w:t>
            </w:r>
          </w:p>
        </w:tc>
        <w:tc>
          <w:tcPr>
            <w:tcW w:type="dxa" w:w="1608"/>
          </w:tcPr>
          <w:p>
            <w:r>
              <w:t>-27.6</w:t>
            </w:r>
          </w:p>
        </w:tc>
        <w:tc>
          <w:tcPr>
            <w:tcW w:type="dxa" w:w="1608"/>
          </w:tcPr>
          <w:p>
            <w:r>
              <w:t>-53.5</w:t>
            </w:r>
          </w:p>
        </w:tc>
        <w:tc>
          <w:tcPr>
            <w:tcW w:type="dxa" w:w="1608"/>
          </w:tcPr>
          <w:p>
            <w:r>
              <w:t>-91.8</w:t>
            </w:r>
          </w:p>
        </w:tc>
        <w:tc>
          <w:tcPr>
            <w:tcW w:type="dxa" w:w="1608"/>
          </w:tcPr>
          <w:p>
            <w:r>
              <w:t>-137.4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Gross profit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17.0</w:t>
            </w:r>
          </w:p>
        </w:tc>
        <w:tc>
          <w:tcPr>
            <w:tcW w:type="dxa" w:w="1608"/>
          </w:tcPr>
          <w:p>
            <w:r>
              <w:rPr>
                <w:b/>
              </w:rPr>
              <w:t>64.4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156.2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295.5</w:t>
            </w:r>
          </w:p>
        </w:tc>
        <w:tc>
          <w:tcPr>
            <w:tcW w:type="dxa" w:w="1608"/>
          </w:tcPr>
          <w:p>
            <w:r>
              <w:rPr>
                <w:b/>
              </w:rPr>
              <w:t>481.4</w:t>
            </w:r>
          </w:p>
        </w:tc>
      </w:tr>
      <w:tr>
        <w:tc>
          <w:tcPr>
            <w:tcW w:type="dxa" w:w="1608"/>
          </w:tcPr>
          <w:p>
            <w:r>
              <w:t>Engineering &amp; infrastructure</w:t>
            </w:r>
          </w:p>
        </w:tc>
        <w:tc>
          <w:tcPr>
            <w:tcW w:type="dxa" w:w="1608"/>
          </w:tcPr>
          <w:p>
            <w:r>
              <w:t>-10.5</w:t>
            </w:r>
          </w:p>
        </w:tc>
        <w:tc>
          <w:tcPr>
            <w:tcW w:type="dxa" w:w="1608"/>
          </w:tcPr>
          <w:p>
            <w:r>
              <w:t>-23.0</w:t>
            </w:r>
          </w:p>
        </w:tc>
        <w:tc>
          <w:tcPr>
            <w:tcW w:type="dxa" w:w="1608"/>
          </w:tcPr>
          <w:p>
            <w:r>
              <w:t>-43.0</w:t>
            </w:r>
          </w:p>
        </w:tc>
        <w:tc>
          <w:tcPr>
            <w:tcW w:type="dxa" w:w="1608"/>
          </w:tcPr>
          <w:p>
            <w:r>
              <w:t>-69.7</w:t>
            </w:r>
          </w:p>
        </w:tc>
        <w:tc>
          <w:tcPr>
            <w:tcW w:type="dxa" w:w="1608"/>
          </w:tcPr>
          <w:p>
            <w:r>
              <w:t>-93.4</w:t>
            </w:r>
          </w:p>
        </w:tc>
      </w:tr>
      <w:tr>
        <w:tc>
          <w:tcPr>
            <w:tcW w:type="dxa" w:w="1608"/>
          </w:tcPr>
          <w:p>
            <w:r>
              <w:t>Sales &amp; marketing</w:t>
            </w:r>
          </w:p>
        </w:tc>
        <w:tc>
          <w:tcPr>
            <w:tcW w:type="dxa" w:w="1608"/>
          </w:tcPr>
          <w:p>
            <w:r>
              <w:t>-6.4</w:t>
            </w:r>
          </w:p>
        </w:tc>
        <w:tc>
          <w:tcPr>
            <w:tcW w:type="dxa" w:w="1608"/>
          </w:tcPr>
          <w:p>
            <w:r>
              <w:t>-14.7</w:t>
            </w:r>
          </w:p>
        </w:tc>
        <w:tc>
          <w:tcPr>
            <w:tcW w:type="dxa" w:w="1608"/>
          </w:tcPr>
          <w:p>
            <w:r>
              <w:t>-29.4</w:t>
            </w:r>
          </w:p>
        </w:tc>
        <w:tc>
          <w:tcPr>
            <w:tcW w:type="dxa" w:w="1608"/>
          </w:tcPr>
          <w:p>
            <w:r>
              <w:t>-46.1</w:t>
            </w:r>
          </w:p>
        </w:tc>
        <w:tc>
          <w:tcPr>
            <w:tcW w:type="dxa" w:w="1608"/>
          </w:tcPr>
          <w:p>
            <w:r>
              <w:t>-79.8</w:t>
            </w:r>
          </w:p>
        </w:tc>
      </w:tr>
      <w:tr>
        <w:tc>
          <w:tcPr>
            <w:tcW w:type="dxa" w:w="1608"/>
          </w:tcPr>
          <w:p>
            <w:r>
              <w:t>R&amp;D / new modules</w:t>
            </w:r>
          </w:p>
        </w:tc>
        <w:tc>
          <w:tcPr>
            <w:tcW w:type="dxa" w:w="1608"/>
          </w:tcPr>
          <w:p>
            <w:r>
              <w:t>-3.8</w:t>
            </w:r>
          </w:p>
        </w:tc>
        <w:tc>
          <w:tcPr>
            <w:tcW w:type="dxa" w:w="1608"/>
          </w:tcPr>
          <w:p>
            <w:r>
              <w:t>-7.4</w:t>
            </w:r>
          </w:p>
        </w:tc>
        <w:tc>
          <w:tcPr>
            <w:tcW w:type="dxa" w:w="1608"/>
          </w:tcPr>
          <w:p>
            <w:r>
              <w:t>-15.3</w:t>
            </w:r>
          </w:p>
        </w:tc>
        <w:tc>
          <w:tcPr>
            <w:tcW w:type="dxa" w:w="1608"/>
          </w:tcPr>
          <w:p>
            <w:r>
              <w:t>-24.4</w:t>
            </w:r>
          </w:p>
        </w:tc>
        <w:tc>
          <w:tcPr>
            <w:tcW w:type="dxa" w:w="1608"/>
          </w:tcPr>
          <w:p>
            <w:r>
              <w:t>-36.5</w:t>
            </w:r>
          </w:p>
        </w:tc>
      </w:tr>
      <w:tr>
        <w:tc>
          <w:tcPr>
            <w:tcW w:type="dxa" w:w="1608"/>
          </w:tcPr>
          <w:p>
            <w:r>
              <w:t>G&amp;A</w:t>
            </w:r>
          </w:p>
        </w:tc>
        <w:tc>
          <w:tcPr>
            <w:tcW w:type="dxa" w:w="1608"/>
          </w:tcPr>
          <w:p>
            <w:r>
              <w:t>-2.0</w:t>
            </w:r>
          </w:p>
        </w:tc>
        <w:tc>
          <w:tcPr>
            <w:tcW w:type="dxa" w:w="1608"/>
          </w:tcPr>
          <w:p>
            <w:r>
              <w:t>-3.7</w:t>
            </w:r>
          </w:p>
        </w:tc>
        <w:tc>
          <w:tcPr>
            <w:tcW w:type="dxa" w:w="1608"/>
          </w:tcPr>
          <w:p>
            <w:r>
              <w:t>-10.5</w:t>
            </w:r>
          </w:p>
        </w:tc>
        <w:tc>
          <w:tcPr>
            <w:tcW w:type="dxa" w:w="1608"/>
          </w:tcPr>
          <w:p>
            <w:r>
              <w:t>-14.7</w:t>
            </w:r>
          </w:p>
        </w:tc>
        <w:tc>
          <w:tcPr>
            <w:tcW w:type="dxa" w:w="1608"/>
          </w:tcPr>
          <w:p>
            <w:r>
              <w:t>-22.9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Total operating expense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-22.8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-48.7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-98.1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-154.9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-232.7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-5.8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15.6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58.1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140.6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248.8</w:t>
            </w:r>
          </w:p>
        </w:tc>
      </w:tr>
    </w:tbl>
    <w:p/>
    <w:p>
      <w:r>
        <w:rPr>
          <w:b/>
          <w:color w:val="C8102E"/>
          <w:sz w:val="24"/>
        </w:rPr>
        <w:t>AI DRUG DISCOVERY — BOTH MARKET DEFINITIONS</w:t>
      </w:r>
    </w:p>
    <w:p>
      <w:r>
        <w:rPr>
          <w:b w:val="0"/>
          <w:i w:val="0"/>
          <w:color w:val="222222"/>
          <w:sz w:val="22"/>
        </w:rPr>
        <w:t>Per F(2)_R v2 Q4 correction. The v1 workbook used the narrow definition only. v2 carries both:</w:t>
      </w:r>
    </w:p>
    <w:p>
      <w:r>
        <w:rPr>
          <w:b/>
          <w:color w:val="1A1A1A"/>
          <w:sz w:val="22"/>
        </w:rPr>
        <w:t xml:space="preserve">Narrow — AI drug discovery platform tools — </w:t>
      </w:r>
      <w:r>
        <w:rPr>
          <w:color w:val="222222"/>
          <w:sz w:val="22"/>
        </w:rPr>
        <w:t>$1.9B (2023) → $2.9B (2025) → $7.5B (2028) → $13.5B (2030). Source: Grand View Research · Markets &amp; Markets · Precedence Research. This is what the v1 model used.</w:t>
      </w:r>
    </w:p>
    <w:p>
      <w:r>
        <w:rPr>
          <w:b/>
          <w:color w:val="1A1A1A"/>
          <w:sz w:val="22"/>
        </w:rPr>
        <w:t xml:space="preserve">Broad — Pharma external R&amp;D AI spend — </w:t>
      </w:r>
      <w:r>
        <w:rPr>
          <w:color w:val="222222"/>
          <w:sz w:val="22"/>
        </w:rPr>
        <w:t>$5.5B (2023) → $12.0B (2025) → $30.0B (2028) → $50.0B (2030). Source: McKinsey · Deloitte · BCG. This is the true envelope BiRAGAS plays in — target ID, lead optimization, clinical trial design, patient stratification, drug repurposing.</w:t>
      </w:r>
    </w:p>
    <w:p>
      <w:r>
        <w:rPr>
          <w:b/>
          <w:color w:val="1A1A1A"/>
          <w:sz w:val="22"/>
        </w:rPr>
        <w:t xml:space="preserve">Cross-check — </w:t>
      </w:r>
      <w:r>
        <w:rPr>
          <w:color w:val="222222"/>
          <w:sz w:val="22"/>
        </w:rPr>
        <w:t>950 active AI-biotech partnerships projected by 2030 (vs. 170 today) × avg deal value $95M each (vs. $25M today). That single dataset alone implies $90B of cumulative AI-partnership deal-value flow over the 5-year window.</w:t>
      </w:r>
    </w:p>
    <w:p>
      <w:r>
        <w:rPr>
          <w:b/>
          <w:color w:val="1A1A1A"/>
          <w:sz w:val="22"/>
        </w:rPr>
        <w:t xml:space="preserve">Implication — </w:t>
      </w:r>
      <w:r>
        <w:rPr>
          <w:color w:val="222222"/>
          <w:sz w:val="22"/>
        </w:rPr>
        <w:t>With the broader envelope, the v2 base case (~$606M Y5) is conservative. The same 0.5% SAM penetration discipline applied against the broad market produces a base case in the $700–800M range, which is consistent with the v2 Bull case.</w:t>
      </w:r>
    </w:p>
    <w:p/>
    <w:p>
      <w:r>
        <w:rPr>
          <w:b/>
          <w:color w:val="C8102E"/>
          <w:sz w:val="24"/>
        </w:rPr>
        <w:t>LDT DIAGNOSTIC REVENUE — PER-DISEASE BUILD</w:t>
      </w:r>
    </w:p>
    <w:p>
      <w:r>
        <w:rPr>
          <w:b w:val="0"/>
          <w:i w:val="0"/>
          <w:color w:val="222222"/>
          <w:sz w:val="22"/>
        </w:rPr>
        <w:t>New stream added in v2. Per-patient utilization revenue across 10 disease-specific Laboratory-Developed Tests (LDT) under CLIA. Sources: BiRAGAS_Utilization workbook (internal) + disease-specific ASP and volume cross-checks from public Dx-market reports.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  <w:t>LDT line</w:t>
            </w:r>
          </w:p>
        </w:tc>
        <w:tc>
          <w:tcPr>
            <w:tcW w:type="dxa" w:w="1206"/>
          </w:tcPr>
          <w:p>
            <w:r>
              <w:rPr>
                <w:b/>
              </w:rPr>
              <w:t>ASP/test</w:t>
            </w:r>
          </w:p>
        </w:tc>
        <w:tc>
          <w:tcPr>
            <w:tcW w:type="dxa" w:w="1206"/>
          </w:tcPr>
          <w:p>
            <w:r>
              <w:rPr>
                <w:b/>
              </w:rPr>
              <w:t>Y5 volume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206"/>
          </w:tcPr>
          <w:p>
            <w:r>
              <w:t>AML Stratification LDT</w:t>
            </w:r>
          </w:p>
        </w:tc>
        <w:tc>
          <w:tcPr>
            <w:tcW w:type="dxa" w:w="1206"/>
          </w:tcPr>
          <w:p>
            <w:r>
              <w:t>$1800</w:t>
            </w:r>
          </w:p>
        </w:tc>
        <w:tc>
          <w:tcPr>
            <w:tcW w:type="dxa" w:w="1206"/>
          </w:tcPr>
          <w:p>
            <w:r>
              <w:t>45,000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3.2</w:t>
            </w:r>
          </w:p>
        </w:tc>
        <w:tc>
          <w:tcPr>
            <w:tcW w:type="dxa" w:w="1206"/>
          </w:tcPr>
          <w:p>
            <w:r>
              <w:t>5.5</w:t>
            </w:r>
          </w:p>
        </w:tc>
        <w:tc>
          <w:tcPr>
            <w:tcW w:type="dxa" w:w="1206"/>
          </w:tcPr>
          <w:p>
            <w:r>
              <w:t>8.5</w:t>
            </w:r>
          </w:p>
        </w:tc>
      </w:tr>
      <w:tr>
        <w:tc>
          <w:tcPr>
            <w:tcW w:type="dxa" w:w="1206"/>
          </w:tcPr>
          <w:p>
            <w:r>
              <w:t>DKD Progression Risk LDT</w:t>
            </w:r>
          </w:p>
        </w:tc>
        <w:tc>
          <w:tcPr>
            <w:tcW w:type="dxa" w:w="1206"/>
          </w:tcPr>
          <w:p>
            <w:r>
              <w:t>$650</w:t>
            </w:r>
          </w:p>
        </w:tc>
        <w:tc>
          <w:tcPr>
            <w:tcW w:type="dxa" w:w="1206"/>
          </w:tcPr>
          <w:p>
            <w:r>
              <w:t>1,200,000</w:t>
            </w:r>
          </w:p>
        </w:tc>
        <w:tc>
          <w:tcPr>
            <w:tcW w:type="dxa" w:w="1206"/>
          </w:tcPr>
          <w:p>
            <w:r>
              <w:t>0.4</w:t>
            </w:r>
          </w:p>
        </w:tc>
        <w:tc>
          <w:tcPr>
            <w:tcW w:type="dxa" w:w="1206"/>
          </w:tcPr>
          <w:p>
            <w:r>
              <w:t>2.0</w:t>
            </w:r>
          </w:p>
        </w:tc>
        <w:tc>
          <w:tcPr>
            <w:tcW w:type="dxa" w:w="1206"/>
          </w:tcPr>
          <w:p>
            <w:r>
              <w:t>4.8</w:t>
            </w:r>
          </w:p>
        </w:tc>
        <w:tc>
          <w:tcPr>
            <w:tcW w:type="dxa" w:w="1206"/>
          </w:tcPr>
          <w:p>
            <w:r>
              <w:t>8.0</w:t>
            </w:r>
          </w:p>
        </w:tc>
        <w:tc>
          <w:tcPr>
            <w:tcW w:type="dxa" w:w="1206"/>
          </w:tcPr>
          <w:p>
            <w:r>
              <w:t>11.0</w:t>
            </w:r>
          </w:p>
        </w:tc>
      </w:tr>
      <w:tr>
        <w:tc>
          <w:tcPr>
            <w:tcW w:type="dxa" w:w="1206"/>
          </w:tcPr>
          <w:p>
            <w:r>
              <w:t>Non-Healing Wound LDT</w:t>
            </w:r>
          </w:p>
        </w:tc>
        <w:tc>
          <w:tcPr>
            <w:tcW w:type="dxa" w:w="1206"/>
          </w:tcPr>
          <w:p>
            <w:r>
              <w:t>$850</w:t>
            </w:r>
          </w:p>
        </w:tc>
        <w:tc>
          <w:tcPr>
            <w:tcW w:type="dxa" w:w="1206"/>
          </w:tcPr>
          <w:p>
            <w:r>
              <w:t>800,000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6.0</w:t>
            </w:r>
          </w:p>
        </w:tc>
        <w:tc>
          <w:tcPr>
            <w:tcW w:type="dxa" w:w="1206"/>
          </w:tcPr>
          <w:p>
            <w:r>
              <w:t>10.5</w:t>
            </w:r>
          </w:p>
        </w:tc>
        <w:tc>
          <w:tcPr>
            <w:tcW w:type="dxa" w:w="1206"/>
          </w:tcPr>
          <w:p>
            <w:r>
              <w:t>14.5</w:t>
            </w:r>
          </w:p>
        </w:tc>
      </w:tr>
      <w:tr>
        <w:tc>
          <w:tcPr>
            <w:tcW w:type="dxa" w:w="1206"/>
          </w:tcPr>
          <w:p>
            <w:r>
              <w:t>Pancreatic Early Detection ncRNA Panel</w:t>
            </w:r>
          </w:p>
        </w:tc>
        <w:tc>
          <w:tcPr>
            <w:tcW w:type="dxa" w:w="1206"/>
          </w:tcPr>
          <w:p>
            <w:r>
              <w:t>$950</w:t>
            </w:r>
          </w:p>
        </w:tc>
        <w:tc>
          <w:tcPr>
            <w:tcW w:type="dxa" w:w="1206"/>
          </w:tcPr>
          <w:p>
            <w:r>
              <w:t>50,000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4.5</w:t>
            </w:r>
          </w:p>
        </w:tc>
        <w:tc>
          <w:tcPr>
            <w:tcW w:type="dxa" w:w="1206"/>
          </w:tcPr>
          <w:p>
            <w:r>
              <w:t>6.5</w:t>
            </w:r>
          </w:p>
        </w:tc>
      </w:tr>
      <w:tr>
        <w:tc>
          <w:tcPr>
            <w:tcW w:type="dxa" w:w="1206"/>
          </w:tcPr>
          <w:p>
            <w:r>
              <w:t>IO Response Predictor (Melanoma)</w:t>
            </w:r>
          </w:p>
        </w:tc>
        <w:tc>
          <w:tcPr>
            <w:tcW w:type="dxa" w:w="1206"/>
          </w:tcPr>
          <w:p>
            <w:r>
              <w:t>$1200</w:t>
            </w:r>
          </w:p>
        </w:tc>
        <w:tc>
          <w:tcPr>
            <w:tcW w:type="dxa" w:w="1206"/>
          </w:tcPr>
          <w:p>
            <w:r>
              <w:t>90,000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3.5</w:t>
            </w:r>
          </w:p>
        </w:tc>
        <w:tc>
          <w:tcPr>
            <w:tcW w:type="dxa" w:w="1206"/>
          </w:tcPr>
          <w:p>
            <w:r>
              <w:t>6.0</w:t>
            </w:r>
          </w:p>
        </w:tc>
        <w:tc>
          <w:tcPr>
            <w:tcW w:type="dxa" w:w="1206"/>
          </w:tcPr>
          <w:p>
            <w:r>
              <w:t>8.5</w:t>
            </w:r>
          </w:p>
        </w:tc>
      </w:tr>
      <w:tr>
        <w:tc>
          <w:tcPr>
            <w:tcW w:type="dxa" w:w="1206"/>
          </w:tcPr>
          <w:p>
            <w:r>
              <w:t>Biologic Responder LDT (Autoimmune)</w:t>
            </w:r>
          </w:p>
        </w:tc>
        <w:tc>
          <w:tcPr>
            <w:tcW w:type="dxa" w:w="1206"/>
          </w:tcPr>
          <w:p>
            <w:r>
              <w:t>$1400</w:t>
            </w:r>
          </w:p>
        </w:tc>
        <w:tc>
          <w:tcPr>
            <w:tcW w:type="dxa" w:w="1206"/>
          </w:tcPr>
          <w:p>
            <w:r>
              <w:t>250,000</w:t>
            </w:r>
          </w:p>
        </w:tc>
        <w:tc>
          <w:tcPr>
            <w:tcW w:type="dxa" w:w="1206"/>
          </w:tcPr>
          <w:p>
            <w:r>
              <w:t>0.4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6.0</w:t>
            </w:r>
          </w:p>
        </w:tc>
        <w:tc>
          <w:tcPr>
            <w:tcW w:type="dxa" w:w="1206"/>
          </w:tcPr>
          <w:p>
            <w:r>
              <w:t>12.0</w:t>
            </w:r>
          </w:p>
        </w:tc>
        <w:tc>
          <w:tcPr>
            <w:tcW w:type="dxa" w:w="1206"/>
          </w:tcPr>
          <w:p>
            <w:r>
              <w:t>18.0</w:t>
            </w:r>
          </w:p>
        </w:tc>
      </w:tr>
      <w:tr>
        <w:tc>
          <w:tcPr>
            <w:tcW w:type="dxa" w:w="1206"/>
          </w:tcPr>
          <w:p>
            <w:r>
              <w:t>Post-COVID Autoimmune LDT</w:t>
            </w:r>
          </w:p>
        </w:tc>
        <w:tc>
          <w:tcPr>
            <w:tcW w:type="dxa" w:w="1206"/>
          </w:tcPr>
          <w:p>
            <w:r>
              <w:t>$1500</w:t>
            </w:r>
          </w:p>
        </w:tc>
        <w:tc>
          <w:tcPr>
            <w:tcW w:type="dxa" w:w="1206"/>
          </w:tcPr>
          <w:p>
            <w:r>
              <w:t>80,000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2.0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6.0</w:t>
            </w:r>
          </w:p>
        </w:tc>
      </w:tr>
      <w:tr>
        <w:tc>
          <w:tcPr>
            <w:tcW w:type="dxa" w:w="1206"/>
          </w:tcPr>
          <w:p>
            <w:r>
              <w:t>AD/Neuro Blood-based Biomarker</w:t>
            </w:r>
          </w:p>
        </w:tc>
        <w:tc>
          <w:tcPr>
            <w:tcW w:type="dxa" w:w="1206"/>
          </w:tcPr>
          <w:p>
            <w:r>
              <w:t>$1100</w:t>
            </w:r>
          </w:p>
        </w:tc>
        <w:tc>
          <w:tcPr>
            <w:tcW w:type="dxa" w:w="1206"/>
          </w:tcPr>
          <w:p>
            <w:r>
              <w:t>250,000</w:t>
            </w:r>
          </w:p>
        </w:tc>
        <w:tc>
          <w:tcPr>
            <w:tcW w:type="dxa" w:w="1206"/>
          </w:tcPr>
          <w:p>
            <w:r>
              <w:t>0.0</w:t>
            </w:r>
          </w:p>
        </w:tc>
        <w:tc>
          <w:tcPr>
            <w:tcW w:type="dxa" w:w="1206"/>
          </w:tcPr>
          <w:p>
            <w:r>
              <w:t>0.0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9.0</w:t>
            </w:r>
          </w:p>
        </w:tc>
      </w:tr>
      <w:tr>
        <w:tc>
          <w:tcPr>
            <w:tcW w:type="dxa" w:w="1206"/>
          </w:tcPr>
          <w:p>
            <w:r>
              <w:t>IBD JAK/IL-23 Stratification</w:t>
            </w:r>
          </w:p>
        </w:tc>
        <w:tc>
          <w:tcPr>
            <w:tcW w:type="dxa" w:w="1206"/>
          </w:tcPr>
          <w:p>
            <w:r>
              <w:t>$1300</w:t>
            </w:r>
          </w:p>
        </w:tc>
        <w:tc>
          <w:tcPr>
            <w:tcW w:type="dxa" w:w="1206"/>
          </w:tcPr>
          <w:p>
            <w:r>
              <w:t>100,000</w:t>
            </w:r>
          </w:p>
        </w:tc>
        <w:tc>
          <w:tcPr>
            <w:tcW w:type="dxa" w:w="1206"/>
          </w:tcPr>
          <w:p>
            <w:r>
              <w:t>0.1</w:t>
            </w:r>
          </w:p>
        </w:tc>
        <w:tc>
          <w:tcPr>
            <w:tcW w:type="dxa" w:w="1206"/>
          </w:tcPr>
          <w:p>
            <w:r>
              <w:t>0.5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3.5</w:t>
            </w:r>
          </w:p>
        </w:tc>
        <w:tc>
          <w:tcPr>
            <w:tcW w:type="dxa" w:w="1206"/>
          </w:tcPr>
          <w:p>
            <w:r>
              <w:t>7.0</w:t>
            </w:r>
          </w:p>
        </w:tc>
      </w:tr>
      <w:tr>
        <w:tc>
          <w:tcPr>
            <w:tcW w:type="dxa" w:w="1206"/>
          </w:tcPr>
          <w:p>
            <w:r>
              <w:t>AMR Stewardship Decision Support</w:t>
            </w:r>
          </w:p>
        </w:tc>
        <w:tc>
          <w:tcPr>
            <w:tcW w:type="dxa" w:w="1206"/>
          </w:tcPr>
          <w:p>
            <w:r>
              <w:t>subscription</w:t>
            </w:r>
          </w:p>
        </w:tc>
        <w:tc>
          <w:tcPr>
            <w:tcW w:type="dxa" w:w="1206"/>
          </w:tcPr>
          <w:p>
            <w:r>
              <w:t>250 hospitals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0.8</w:t>
            </w:r>
          </w:p>
        </w:tc>
        <w:tc>
          <w:tcPr>
            <w:tcW w:type="dxa" w:w="1206"/>
          </w:tcPr>
          <w:p>
            <w:r>
              <w:t>2.0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6.0</w:t>
            </w:r>
          </w:p>
        </w:tc>
      </w:tr>
      <w:tr>
        <w:tc>
          <w:tcPr>
            <w:tcW w:type="dxa" w:w="1206"/>
          </w:tcPr>
          <w:p>
            <w:r>
              <w:rPr>
                <w:b/>
              </w:rPr>
              <w:t>TOTAL LDT revenue (base $M)</w:t>
            </w:r>
          </w:p>
        </w:tc>
        <w:tc>
          <w:tcPr>
            <w:tcW w:type="dxa" w:w="1206"/>
          </w:tcPr>
          <w:p/>
        </w:tc>
        <w:tc>
          <w:tcPr>
            <w:tcW w:type="dxa" w:w="1206"/>
          </w:tcPr>
          <w:p/>
        </w:tc>
        <w:tc>
          <w:tcPr>
            <w:tcW w:type="dxa" w:w="1206"/>
          </w:tcPr>
          <w:p>
            <w:r>
              <w:rPr>
                <w:b/>
              </w:rPr>
              <w:t>2.4</w:t>
            </w:r>
          </w:p>
        </w:tc>
        <w:tc>
          <w:tcPr>
            <w:tcW w:type="dxa" w:w="1206"/>
          </w:tcPr>
          <w:p>
            <w:r>
              <w:rPr>
                <w:b/>
              </w:rPr>
              <w:t>13.3</w:t>
            </w:r>
          </w:p>
        </w:tc>
        <w:tc>
          <w:tcPr>
            <w:tcW w:type="dxa" w:w="1206"/>
          </w:tcPr>
          <w:p>
            <w:r>
              <w:rPr>
                <w:b/>
              </w:rPr>
              <w:t>33.0</w:t>
            </w:r>
          </w:p>
        </w:tc>
        <w:tc>
          <w:tcPr>
            <w:tcW w:type="dxa" w:w="1206"/>
          </w:tcPr>
          <w:p>
            <w:r>
              <w:rPr>
                <w:b/>
              </w:rPr>
              <w:t>62.0</w:t>
            </w:r>
          </w:p>
        </w:tc>
        <w:tc>
          <w:tcPr>
            <w:tcW w:type="dxa" w:w="1206"/>
          </w:tcPr>
          <w:p>
            <w:r>
              <w:rPr>
                <w:b/>
              </w:rPr>
              <w:t>95.0</w:t>
            </w:r>
          </w:p>
        </w:tc>
      </w:tr>
    </w:tbl>
    <w:p>
      <w:r>
        <w:rPr>
          <w:b w:val="0"/>
          <w:i/>
          <w:color w:val="666666"/>
          <w:sz w:val="20"/>
        </w:rPr>
        <w:t>Hold-out rationale (why v1 omitted): CMS LCD pricing varies by MAC jurisdiction; FDA VALID Act enforcement timeline uncertain; payor coverage not assumed for non-CDx CLIA tests. v2 includes only CLIA-only (no payor coverage) scenarios except where co-developed CDx pathway applies.</w:t>
      </w:r>
    </w:p>
    <w:p/>
    <w:p>
      <w:r>
        <w:rPr>
          <w:b/>
          <w:color w:val="C8102E"/>
          <w:sz w:val="24"/>
        </w:rPr>
        <w:t>CONSUMER WELLNESS REVENUE — PER-CHANNEL BUILD</w:t>
      </w:r>
    </w:p>
    <w:p>
      <w:r>
        <w:rPr>
          <w:b w:val="0"/>
          <w:i w:val="0"/>
          <w:color w:val="222222"/>
          <w:sz w:val="22"/>
        </w:rPr>
        <w:t>New stream added in v2. DTC + B2B2C + concierge consumer wellness. Different go-to-market motion from B2B-pharma sales engine, so v2 adds ~$5M Y3 → $15M Y5 of consumer-channel S&amp;M (DTC paid acquisition + clinic BD).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206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06"/>
          </w:tcPr>
          <w:p>
            <w:r>
              <w:rPr>
                <w:b/>
              </w:rPr>
              <w:t>Y5 units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206"/>
          </w:tcPr>
          <w:p>
            <w:r>
              <w:t>DTC BiRAGAS Wellness Subscription</w:t>
            </w:r>
          </w:p>
        </w:tc>
        <w:tc>
          <w:tcPr>
            <w:tcW w:type="dxa" w:w="1206"/>
          </w:tcPr>
          <w:p>
            <w:r>
              <w:t>$199/mo</w:t>
            </w:r>
          </w:p>
        </w:tc>
        <w:tc>
          <w:tcPr>
            <w:tcW w:type="dxa" w:w="1206"/>
          </w:tcPr>
          <w:p>
            <w:r>
              <w:t>9,200 subscribers</w:t>
            </w:r>
          </w:p>
        </w:tc>
        <w:tc>
          <w:tcPr>
            <w:tcW w:type="dxa" w:w="1206"/>
          </w:tcPr>
          <w:p>
            <w:r>
              <w:t>0.1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12.0</w:t>
            </w:r>
          </w:p>
        </w:tc>
        <w:tc>
          <w:tcPr>
            <w:tcW w:type="dxa" w:w="1206"/>
          </w:tcPr>
          <w:p>
            <w:r>
              <w:t>22.0</w:t>
            </w:r>
          </w:p>
        </w:tc>
      </w:tr>
      <w:tr>
        <w:tc>
          <w:tcPr>
            <w:tcW w:type="dxa" w:w="1206"/>
          </w:tcPr>
          <w:p>
            <w:r>
              <w:t>Longevity Clinic White-Label</w:t>
            </w:r>
          </w:p>
        </w:tc>
        <w:tc>
          <w:tcPr>
            <w:tcW w:type="dxa" w:w="1206"/>
          </w:tcPr>
          <w:p>
            <w:r>
              <w:t>$35-55K/yr per clinic</w:t>
            </w:r>
          </w:p>
        </w:tc>
        <w:tc>
          <w:tcPr>
            <w:tcW w:type="dxa" w:w="1206"/>
          </w:tcPr>
          <w:p>
            <w:r>
              <w:t>250 clinics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7.0</w:t>
            </w:r>
          </w:p>
        </w:tc>
        <w:tc>
          <w:tcPr>
            <w:tcW w:type="dxa" w:w="1206"/>
          </w:tcPr>
          <w:p>
            <w:r>
              <w:t>11.0</w:t>
            </w:r>
          </w:p>
        </w:tc>
      </w:tr>
      <w:tr>
        <w:tc>
          <w:tcPr>
            <w:tcW w:type="dxa" w:w="1206"/>
          </w:tcPr>
          <w:p>
            <w:r>
              <w:t>Wellness Brand API/SaaS</w:t>
            </w:r>
          </w:p>
        </w:tc>
        <w:tc>
          <w:tcPr>
            <w:tcW w:type="dxa" w:w="1206"/>
          </w:tcPr>
          <w:p>
            <w:r>
              <w:t>embedded analytics</w:t>
            </w:r>
          </w:p>
        </w:tc>
        <w:tc>
          <w:tcPr>
            <w:tcW w:type="dxa" w:w="1206"/>
          </w:tcPr>
          <w:p>
            <w:r>
              <w:t>10 brands</w:t>
            </w:r>
          </w:p>
        </w:tc>
        <w:tc>
          <w:tcPr>
            <w:tcW w:type="dxa" w:w="1206"/>
          </w:tcPr>
          <w:p>
            <w:r>
              <w:t>0.0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3.0</w:t>
            </w:r>
          </w:p>
        </w:tc>
        <w:tc>
          <w:tcPr>
            <w:tcW w:type="dxa" w:w="1206"/>
          </w:tcPr>
          <w:p>
            <w:r>
              <w:t>5.0</w:t>
            </w:r>
          </w:p>
        </w:tc>
      </w:tr>
      <w:tr>
        <w:tc>
          <w:tcPr>
            <w:tcW w:type="dxa" w:w="1206"/>
          </w:tcPr>
          <w:p>
            <w:r>
              <w:t>HNW Concierge Program</w:t>
            </w:r>
          </w:p>
        </w:tc>
        <w:tc>
          <w:tcPr>
            <w:tcW w:type="dxa" w:w="1206"/>
          </w:tcPr>
          <w:p>
            <w:r>
              <w:t>$50K/yr</w:t>
            </w:r>
          </w:p>
        </w:tc>
        <w:tc>
          <w:tcPr>
            <w:tcW w:type="dxa" w:w="1206"/>
          </w:tcPr>
          <w:p>
            <w:r>
              <w:t>80 clients</w:t>
            </w:r>
          </w:p>
        </w:tc>
        <w:tc>
          <w:tcPr>
            <w:tcW w:type="dxa" w:w="1206"/>
          </w:tcPr>
          <w:p>
            <w:r>
              <w:t>0.1</w:t>
            </w:r>
          </w:p>
        </w:tc>
        <w:tc>
          <w:tcPr>
            <w:tcW w:type="dxa" w:w="1206"/>
          </w:tcPr>
          <w:p>
            <w:r>
              <w:t>0.5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4.0</w:t>
            </w:r>
          </w:p>
        </w:tc>
      </w:tr>
      <w:tr>
        <w:tc>
          <w:tcPr>
            <w:tcW w:type="dxa" w:w="1206"/>
          </w:tcPr>
          <w:p>
            <w:r>
              <w:rPr>
                <w:b/>
              </w:rPr>
              <w:t>TOTAL Consumer Wellness (base $M)</w:t>
            </w:r>
          </w:p>
        </w:tc>
        <w:tc>
          <w:tcPr>
            <w:tcW w:type="dxa" w:w="1206"/>
          </w:tcPr>
          <w:p/>
        </w:tc>
        <w:tc>
          <w:tcPr>
            <w:tcW w:type="dxa" w:w="1206"/>
          </w:tcPr>
          <w:p/>
        </w:tc>
        <w:tc>
          <w:tcPr>
            <w:tcW w:type="dxa" w:w="1206"/>
          </w:tcPr>
          <w:p>
            <w:r>
              <w:rPr>
                <w:b/>
              </w:rPr>
              <w:t>0.4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2.8</w:t>
            </w:r>
          </w:p>
        </w:tc>
        <w:tc>
          <w:tcPr>
            <w:tcW w:type="dxa" w:w="1206"/>
          </w:tcPr>
          <w:p>
            <w:r>
              <w:rPr>
                <w:b/>
              </w:rPr>
              <w:t>9.0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24.5</w:t>
            </w:r>
          </w:p>
        </w:tc>
        <w:tc>
          <w:tcPr>
            <w:tcW w:type="dxa" w:w="1206"/>
          </w:tcPr>
          <w:p>
            <w:r>
              <w:rPr>
                <w:b/>
              </w:rPr>
              <w:t>42.0</w:t>
            </w:r>
          </w:p>
        </w:tc>
      </w:tr>
    </w:tbl>
    <w:p/>
    <w:p>
      <w:r>
        <w:rPr>
          <w:b/>
          <w:color w:val="C8102E"/>
          <w:sz w:val="24"/>
        </w:rPr>
        <w:t>NEW VERTICALS — WOUND CARE + AMR, WELLNESS, AGENTIC AI</w:t>
      </w:r>
    </w:p>
    <w:p>
      <w:r>
        <w:rPr>
          <w:b/>
          <w:color w:val="1A1A1A"/>
          <w:sz w:val="22"/>
        </w:rPr>
        <w:t xml:space="preserve">Wound Care + AMR — </w:t>
      </w:r>
      <w:r>
        <w:rPr>
          <w:color w:val="222222"/>
          <w:sz w:val="22"/>
        </w:rPr>
        <w:t>Global Wound Care TAM $24.5B (2024) → $41.8B (2030), CAGR 11.3%. 6.5M US chronic non-healing wound patients. AMR economic toll $55B → $90B by 2030 (CDC). BiRAGAS revenue motions: Non-Healing Wound LDT ($14.5M Y5), AMR Stewardship Decision Support (250 hospitals, $6M Y5), Pharma AMR Partnership (target ID, $6.5M Y5), Wound Microbiome Subscription, Repurposing Royalties (AMR adjuvants).</w:t>
      </w:r>
    </w:p>
    <w:p>
      <w:r>
        <w:rPr>
          <w:b/>
          <w:color w:val="1A1A1A"/>
          <w:sz w:val="22"/>
        </w:rPr>
        <w:t xml:space="preserve">Wellness / Longevity — </w:t>
      </w:r>
      <w:r>
        <w:rPr>
          <w:color w:val="222222"/>
          <w:sz w:val="22"/>
        </w:rPr>
        <w:t>Global wellness economy $5.6T → $8.5T by 2030. Personalized wellness sub-segment $220B → $450B. Longevity &amp; healthspan $27B → $63B (BoA). Consumer biomarker testing $5.4B → $14B. BiRAGAS plays via the Consumer Wellness stream above.</w:t>
      </w:r>
    </w:p>
    <w:p>
      <w:r>
        <w:rPr>
          <w:b/>
          <w:color w:val="1A1A1A"/>
          <w:sz w:val="22"/>
        </w:rPr>
        <w:t xml:space="preserve">Agentic AI / Enterprise (cross-vertical) — </w:t>
      </w:r>
      <w:r>
        <w:rPr>
          <w:color w:val="222222"/>
          <w:sz w:val="22"/>
        </w:rPr>
        <w:t>Global agentic AI market $7.5B → $85B by 2030 (Gartner, CAGR 50%). Hallucination-mitigation tooling $0.3B → $6B. BiRAGAS's 7-category hallucination shield + 23 causality modules are licensable outside biology. v2 Y5 base: $27M (Pharma Enterprise Platform License, Hallucination Shield licensing, Causality Module licensing, Agentic Architecture Consulting, API/SaaS).</w:t>
      </w:r>
    </w:p>
    <w:p/>
    <w:p>
      <w:pPr>
        <w:jc w:val="center"/>
      </w:pPr>
      <w:r>
        <w:rPr>
          <w:i/>
          <w:color w:val="666666"/>
          <w:sz w:val="18"/>
        </w:rPr>
        <w:t>END OF V2 PROJECTIONS DOCUMENT · BIRAGAS · AYASS BIOSCIENCE, LLC · MMXXVI · FOR DISCUSSION PURPOSES ONLY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