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Helvetica Neue" w:hAnsi="Helvetica Neue"/>
          <w:b w:val="0"/>
          <w:i w:val="0"/>
          <w:caps/>
          <w:color w:val="C8102E"/>
          <w:sz w:val="18"/>
        </w:rPr>
        <w:t>AYASS BIOSCIENCE · BIRAGAS PLATFORM</w:t>
      </w:r>
    </w:p>
    <w:p>
      <w:pPr>
        <w:spacing w:after="240"/>
      </w:pPr>
    </w:p>
    <w:p>
      <w:pPr>
        <w:jc w:val="center"/>
      </w:pPr>
      <w:r>
        <w:rPr>
          <w:rFonts w:ascii="Newsreader" w:hAnsi="Newsreader"/>
          <w:b w:val="0"/>
          <w:i w:val="0"/>
          <w:color w:val="0F0F0F"/>
          <w:sz w:val="128"/>
        </w:rPr>
        <w:t>BiRAGAS</w:t>
      </w:r>
    </w:p>
    <w:p>
      <w:pPr>
        <w:spacing w:after="480"/>
        <w:jc w:val="center"/>
      </w:pPr>
      <w:r>
        <w:rPr>
          <w:rFonts w:ascii="Newsreader" w:hAnsi="Newsreader"/>
          <w:b w:val="0"/>
          <w:i/>
          <w:color w:val="C8102E"/>
          <w:sz w:val="128"/>
        </w:rPr>
        <w:t>Financial Projections.</w:t>
      </w:r>
    </w:p>
    <w:p>
      <w:pPr>
        <w:spacing w:after="80"/>
        <w:jc w:val="center"/>
      </w:pPr>
      <w:r>
        <w:rPr>
          <w:rFonts w:ascii="Newsreader" w:hAnsi="Newsreader"/>
          <w:b w:val="0"/>
          <w:i/>
          <w:color w:val="33302A"/>
          <w:sz w:val="36"/>
        </w:rPr>
        <w:t>A 5-Year Bottom-Up Revenue Model</w:t>
      </w:r>
    </w:p>
    <w:p>
      <w:pPr>
        <w:spacing w:after="800"/>
        <w:jc w:val="center"/>
      </w:pPr>
      <w:r>
        <w:rPr>
          <w:rFonts w:ascii="Newsreader" w:hAnsi="Newsreader"/>
          <w:b w:val="0"/>
          <w:i/>
          <w:color w:val="33302A"/>
          <w:sz w:val="24"/>
        </w:rPr>
        <w:t>Covering 24 markets · 7 revenue streams · base / bull / bear scenarios</w:t>
      </w:r>
    </w:p>
    <w:p>
      <w:pPr>
        <w:jc w:val="center"/>
      </w:pPr>
      <w:r>
        <w:rPr>
          <w:rFonts w:ascii="Helvetica Neue" w:hAnsi="Helvetica Neue"/>
          <w:b w:val="0"/>
          <w:i w:val="0"/>
          <w:caps/>
          <w:color w:val="5A544D"/>
          <w:sz w:val="18"/>
        </w:rPr>
        <w:t>Ayass Bioscience, LLC · Texas · 2026-05-25 · CONFIDENTIAL · NDA</w:t>
      </w:r>
    </w:p>
    <w:p>
      <w:r>
        <w:br w:type="page"/>
      </w:r>
    </w:p>
    <w:p>
      <w:pPr>
        <w:spacing w:after="120" w:before="240"/>
        <w:pBdr>
          <w:bottom w:val="single" w:sz="6" w:space="1" w:color="BBBBBB"/>
        </w:pBdr>
      </w:pPr>
      <w:r>
        <w:rPr>
          <w:rFonts w:ascii="Newsreader" w:hAnsi="Newsreader"/>
          <w:b w:val="0"/>
          <w:i/>
          <w:color w:val="0F0F0F"/>
          <w:sz w:val="36"/>
        </w:rPr>
        <w:t>Executive Summary</w:t>
      </w:r>
    </w:p>
    <w:p>
      <w:pPr>
        <w:spacing w:after="160" w:line="324" w:lineRule="auto"/>
      </w:pPr>
      <w:r>
        <w:rPr>
          <w:rFonts w:ascii="Newsreader" w:hAnsi="Newsreader"/>
          <w:b w:val="0"/>
          <w:i w:val="0"/>
          <w:color w:val="33302A"/>
          <w:sz w:val="22"/>
        </w:rPr>
        <w:t>BiRAGAS is a unique causal-inference AI platform that converts fragmented biological data into validated, FDA-aligned therapeutic targets. This document presents a bottom-up financial projection covering twenty-four addressable markets, seven concurrent revenue streams, and a five-year operating horizon — modeled under base, bull, and bear scenarios.</w:t>
      </w:r>
    </w:p>
    <w:p>
      <w:pPr>
        <w:spacing w:after="160" w:line="324" w:lineRule="auto"/>
      </w:pPr>
      <w:r>
        <w:rPr>
          <w:rFonts w:ascii="Newsreader" w:hAnsi="Newsreader"/>
          <w:b w:val="0"/>
          <w:i w:val="0"/>
          <w:color w:val="33302A"/>
          <w:sz w:val="22"/>
        </w:rPr>
        <w:t>Top-line conclusion: base-case 2030 revenue of $482 million with $198 million of EBITDA (41% margin). 2028 inflection point: revenue $168 million, EBITDA $43 million (25.6% margin) — the year BiRAGAS crosses from growth-stage scale into mature-SaaS profitability. EBITDA-positive from 2027 onward. Bull case 2030 lands at $814 million revenue / $415 million EBITDA. Bear case 2030 at $255 million / $72 million.</w:t>
      </w:r>
    </w:p>
    <w:p>
      <w:pPr>
        <w:spacing w:after="160" w:line="324" w:lineRule="auto"/>
      </w:pPr>
      <w:r>
        <w:rPr>
          <w:rFonts w:ascii="Newsreader" w:hAnsi="Newsreader"/>
          <w:b w:val="0"/>
          <w:i w:val="0"/>
          <w:color w:val="33302A"/>
          <w:sz w:val="22"/>
        </w:rPr>
        <w:t>Cumulative 5-year addressable market across all 27 sub-markets is approximately $1.05 trillion in 2030 TAM. BiRAGAS's serviceable obtainable market (SOM) at Year-5 penetration assumptions is approximately $1.6 billion — making the base-case 2030 revenue of $482 million a 30% capture of SOM, an aggressive but defensible target given the platform's foundation-level moat and the accelerating FDA causal-evidence tailwind.</w:t>
      </w:r>
    </w:p>
    <w:p>
      <w:pPr>
        <w:spacing w:after="160" w:line="324" w:lineRule="auto"/>
      </w:pPr>
      <w:r>
        <w:rPr>
          <w:rFonts w:ascii="Newsreader" w:hAnsi="Newsreader"/>
          <w:b w:val="0"/>
          <w:i w:val="0"/>
          <w:color w:val="33302A"/>
          <w:sz w:val="22"/>
        </w:rPr>
        <w:t>The model is anchored to a defined 2028 EBITDA target of $43 million, with all customer cohort sizes, ASPs, co-development pacing, and operating-leverage curves reverse-engineered to deliver that anchor. Customer counts are anchored to comparable contract counts published in Recursion, Schrödinger, and AbCellera 10-K filings — with BiRAGAS targeting deeper penetration in big pharma (30 of the top 25 by 2030) and faster expansion in mid-cap biotech, where the platform's lower-touch SaaS motion has the fastest sales cycle.</w:t>
      </w:r>
    </w:p>
    <w:p>
      <w:pPr>
        <w:spacing w:after="80" w:before="240"/>
      </w:pPr>
      <w:r>
        <w:rPr>
          <w:rFonts w:ascii="Helvetica Neue" w:hAnsi="Helvetica Neue"/>
          <w:b/>
          <w:i w:val="0"/>
          <w:color w:val="0F0F0F"/>
          <w:sz w:val="26"/>
        </w:rPr>
        <w:t>Key figures — base case</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t>$M</w:t>
            </w:r>
          </w:p>
        </w:tc>
        <w:tc>
          <w:tcPr>
            <w:tcW w:type="dxa" w:w="1586"/>
          </w:tcPr>
          <w:p>
            <w:r>
              <w:t>2026</w:t>
            </w:r>
          </w:p>
        </w:tc>
        <w:tc>
          <w:tcPr>
            <w:tcW w:type="dxa" w:w="1586"/>
          </w:tcPr>
          <w:p>
            <w:r>
              <w:t>2027</w:t>
            </w:r>
          </w:p>
        </w:tc>
        <w:tc>
          <w:tcPr>
            <w:tcW w:type="dxa" w:w="1586"/>
          </w:tcPr>
          <w:p>
            <w:r>
              <w:t>2028</w:t>
            </w:r>
          </w:p>
        </w:tc>
        <w:tc>
          <w:tcPr>
            <w:tcW w:type="dxa" w:w="1586"/>
          </w:tcPr>
          <w:p>
            <w:r>
              <w:t>2029</w:t>
            </w:r>
          </w:p>
        </w:tc>
        <w:tc>
          <w:tcPr>
            <w:tcW w:type="dxa" w:w="1586"/>
          </w:tcPr>
          <w:p>
            <w:r>
              <w:t>2030</w:t>
            </w:r>
          </w:p>
        </w:tc>
      </w:tr>
      <w:tr>
        <w:tc>
          <w:tcPr>
            <w:tcW w:type="dxa" w:w="1586"/>
          </w:tcPr>
          <w:p>
            <w:r>
              <w:t>SaaS revenue</w:t>
            </w:r>
          </w:p>
        </w:tc>
        <w:tc>
          <w:tcPr>
            <w:tcW w:type="dxa" w:w="1586"/>
          </w:tcPr>
          <w:p>
            <w:r>
              <w:t>$21.4</w:t>
            </w:r>
          </w:p>
        </w:tc>
        <w:tc>
          <w:tcPr>
            <w:tcW w:type="dxa" w:w="1586"/>
          </w:tcPr>
          <w:p>
            <w:r>
              <w:t>$52.8</w:t>
            </w:r>
          </w:p>
        </w:tc>
        <w:tc>
          <w:tcPr>
            <w:tcW w:type="dxa" w:w="1586"/>
          </w:tcPr>
          <w:p>
            <w:r>
              <w:t>$105.5</w:t>
            </w:r>
          </w:p>
        </w:tc>
        <w:tc>
          <w:tcPr>
            <w:tcW w:type="dxa" w:w="1586"/>
          </w:tcPr>
          <w:p>
            <w:r>
              <w:t>$165.8</w:t>
            </w:r>
          </w:p>
        </w:tc>
        <w:tc>
          <w:tcPr>
            <w:tcW w:type="dxa" w:w="1586"/>
          </w:tcPr>
          <w:p>
            <w:r>
              <w:t>$250.0</w:t>
            </w:r>
          </w:p>
        </w:tc>
      </w:tr>
      <w:tr>
        <w:tc>
          <w:tcPr>
            <w:tcW w:type="dxa" w:w="1586"/>
          </w:tcPr>
          <w:p>
            <w:r>
              <w:t>Co-dev revenue</w:t>
            </w:r>
          </w:p>
        </w:tc>
        <w:tc>
          <w:tcPr>
            <w:tcW w:type="dxa" w:w="1586"/>
          </w:tcPr>
          <w:p>
            <w:r>
              <w:t>$5.0</w:t>
            </w:r>
          </w:p>
        </w:tc>
        <w:tc>
          <w:tcPr>
            <w:tcW w:type="dxa" w:w="1586"/>
          </w:tcPr>
          <w:p>
            <w:r>
              <w:t>$23.0</w:t>
            </w:r>
          </w:p>
        </w:tc>
        <w:tc>
          <w:tcPr>
            <w:tcW w:type="dxa" w:w="1586"/>
          </w:tcPr>
          <w:p>
            <w:r>
              <w:t>$61.0</w:t>
            </w:r>
          </w:p>
        </w:tc>
        <w:tc>
          <w:tcPr>
            <w:tcW w:type="dxa" w:w="1586"/>
          </w:tcPr>
          <w:p>
            <w:r>
              <w:t>$129.0</w:t>
            </w:r>
          </w:p>
        </w:tc>
        <w:tc>
          <w:tcPr>
            <w:tcW w:type="dxa" w:w="1586"/>
          </w:tcPr>
          <w:p>
            <w:r>
              <w:t>$215.0</w:t>
            </w:r>
          </w:p>
        </w:tc>
      </w:tr>
      <w:tr>
        <w:tc>
          <w:tcPr>
            <w:tcW w:type="dxa" w:w="1586"/>
          </w:tcPr>
          <w:p>
            <w:r>
              <w:t>CDx royalty</w:t>
            </w:r>
          </w:p>
        </w:tc>
        <w:tc>
          <w:tcPr>
            <w:tcW w:type="dxa" w:w="1586"/>
          </w:tcPr>
          <w:p>
            <w:r>
              <w:t>$0.0</w:t>
            </w:r>
          </w:p>
        </w:tc>
        <w:tc>
          <w:tcPr>
            <w:tcW w:type="dxa" w:w="1586"/>
          </w:tcPr>
          <w:p>
            <w:r>
              <w:t>$0.0</w:t>
            </w:r>
          </w:p>
        </w:tc>
        <w:tc>
          <w:tcPr>
            <w:tcW w:type="dxa" w:w="1586"/>
          </w:tcPr>
          <w:p>
            <w:r>
              <w:t>$1.2</w:t>
            </w:r>
          </w:p>
        </w:tc>
        <w:tc>
          <w:tcPr>
            <w:tcW w:type="dxa" w:w="1586"/>
          </w:tcPr>
          <w:p>
            <w:r>
              <w:t>$6.0</w:t>
            </w:r>
          </w:p>
        </w:tc>
        <w:tc>
          <w:tcPr>
            <w:tcW w:type="dxa" w:w="1586"/>
          </w:tcPr>
          <w:p>
            <w:r>
              <w:t>$16.8</w:t>
            </w:r>
          </w:p>
        </w:tc>
      </w:tr>
      <w:tr>
        <w:tc>
          <w:tcPr>
            <w:tcW w:type="dxa" w:w="1586"/>
          </w:tcPr>
          <w:p>
            <w:r>
              <w:t>TOTAL revenue</w:t>
            </w:r>
          </w:p>
        </w:tc>
        <w:tc>
          <w:tcPr>
            <w:tcW w:type="dxa" w:w="1586"/>
          </w:tcPr>
          <w:p>
            <w:r>
              <w:t>$26.4</w:t>
            </w:r>
          </w:p>
        </w:tc>
        <w:tc>
          <w:tcPr>
            <w:tcW w:type="dxa" w:w="1586"/>
          </w:tcPr>
          <w:p>
            <w:r>
              <w:t>$75.8</w:t>
            </w:r>
          </w:p>
        </w:tc>
        <w:tc>
          <w:tcPr>
            <w:tcW w:type="dxa" w:w="1586"/>
          </w:tcPr>
          <w:p>
            <w:r>
              <w:t>$167.7</w:t>
            </w:r>
          </w:p>
        </w:tc>
        <w:tc>
          <w:tcPr>
            <w:tcW w:type="dxa" w:w="1586"/>
          </w:tcPr>
          <w:p>
            <w:r>
              <w:t>$300.9</w:t>
            </w:r>
          </w:p>
        </w:tc>
        <w:tc>
          <w:tcPr>
            <w:tcW w:type="dxa" w:w="1586"/>
          </w:tcPr>
          <w:p>
            <w:r>
              <w:t>$481.8</w:t>
            </w:r>
          </w:p>
        </w:tc>
      </w:tr>
      <w:tr>
        <w:tc>
          <w:tcPr>
            <w:tcW w:type="dxa" w:w="1586"/>
          </w:tcPr>
          <w:p>
            <w:r>
              <w:t>Gross profit</w:t>
            </w:r>
          </w:p>
        </w:tc>
        <w:tc>
          <w:tcPr>
            <w:tcW w:type="dxa" w:w="1586"/>
          </w:tcPr>
          <w:p>
            <w:r>
              <w:t>$15.9</w:t>
            </w:r>
          </w:p>
        </w:tc>
        <w:tc>
          <w:tcPr>
            <w:tcW w:type="dxa" w:w="1586"/>
          </w:tcPr>
          <w:p>
            <w:r>
              <w:t>$53.1</w:t>
            </w:r>
          </w:p>
        </w:tc>
        <w:tc>
          <w:tcPr>
            <w:tcW w:type="dxa" w:w="1586"/>
          </w:tcPr>
          <w:p>
            <w:r>
              <w:t>$125.8</w:t>
            </w:r>
          </w:p>
        </w:tc>
        <w:tc>
          <w:tcPr>
            <w:tcW w:type="dxa" w:w="1586"/>
          </w:tcPr>
          <w:p>
            <w:r>
              <w:t>$231.7</w:t>
            </w:r>
          </w:p>
        </w:tc>
        <w:tc>
          <w:tcPr>
            <w:tcW w:type="dxa" w:w="1586"/>
          </w:tcPr>
          <w:p>
            <w:r>
              <w:t>$385.4</w:t>
            </w:r>
          </w:p>
        </w:tc>
      </w:tr>
      <w:tr>
        <w:tc>
          <w:tcPr>
            <w:tcW w:type="dxa" w:w="1586"/>
          </w:tcPr>
          <w:p>
            <w:r>
              <w:t>OpEx</w:t>
            </w:r>
          </w:p>
        </w:tc>
        <w:tc>
          <w:tcPr>
            <w:tcW w:type="dxa" w:w="1586"/>
          </w:tcPr>
          <w:p>
            <w:r>
              <w:t>$-19.8</w:t>
            </w:r>
          </w:p>
        </w:tc>
        <w:tc>
          <w:tcPr>
            <w:tcW w:type="dxa" w:w="1586"/>
          </w:tcPr>
          <w:p>
            <w:r>
              <w:t>$-40.2</w:t>
            </w:r>
          </w:p>
        </w:tc>
        <w:tc>
          <w:tcPr>
            <w:tcW w:type="dxa" w:w="1586"/>
          </w:tcPr>
          <w:p>
            <w:r>
              <w:t>$-82.8</w:t>
            </w:r>
          </w:p>
        </w:tc>
        <w:tc>
          <w:tcPr>
            <w:tcW w:type="dxa" w:w="1586"/>
          </w:tcPr>
          <w:p>
            <w:r>
              <w:t>$-129.4</w:t>
            </w:r>
          </w:p>
        </w:tc>
        <w:tc>
          <w:tcPr>
            <w:tcW w:type="dxa" w:w="1586"/>
          </w:tcPr>
          <w:p>
            <w:r>
              <w:t>$-187.9</w:t>
            </w:r>
          </w:p>
        </w:tc>
      </w:tr>
      <w:tr>
        <w:tc>
          <w:tcPr>
            <w:tcW w:type="dxa" w:w="1586"/>
          </w:tcPr>
          <w:p>
            <w:r>
              <w:t>EBITDA</w:t>
            </w:r>
          </w:p>
        </w:tc>
        <w:tc>
          <w:tcPr>
            <w:tcW w:type="dxa" w:w="1586"/>
          </w:tcPr>
          <w:p>
            <w:r>
              <w:t>$-4.0</w:t>
            </w:r>
          </w:p>
        </w:tc>
        <w:tc>
          <w:tcPr>
            <w:tcW w:type="dxa" w:w="1586"/>
          </w:tcPr>
          <w:p>
            <w:r>
              <w:t>$12.9</w:t>
            </w:r>
          </w:p>
        </w:tc>
        <w:tc>
          <w:tcPr>
            <w:tcW w:type="dxa" w:w="1586"/>
          </w:tcPr>
          <w:p>
            <w:r>
              <w:t>$42.9</w:t>
            </w:r>
          </w:p>
        </w:tc>
        <w:tc>
          <w:tcPr>
            <w:tcW w:type="dxa" w:w="1586"/>
          </w:tcPr>
          <w:p>
            <w:r>
              <w:t>$102.3</w:t>
            </w:r>
          </w:p>
        </w:tc>
        <w:tc>
          <w:tcPr>
            <w:tcW w:type="dxa" w:w="1586"/>
          </w:tcPr>
          <w:p>
            <w:r>
              <w:t>$197.5</w:t>
            </w:r>
          </w:p>
        </w:tc>
      </w:tr>
    </w:tbl>
    <w:p>
      <w:r>
        <w:br w:type="page"/>
      </w:r>
    </w:p>
    <w:p>
      <w:pPr>
        <w:spacing w:after="120" w:before="240"/>
        <w:pBdr>
          <w:bottom w:val="single" w:sz="6" w:space="1" w:color="BBBBBB"/>
        </w:pBdr>
      </w:pPr>
      <w:r>
        <w:rPr>
          <w:rFonts w:ascii="Newsreader" w:hAnsi="Newsreader"/>
          <w:b w:val="0"/>
          <w:i/>
          <w:color w:val="0F0F0F"/>
          <w:sz w:val="36"/>
        </w:rPr>
        <w:t>Methodology</w:t>
      </w:r>
    </w:p>
    <w:p>
      <w:pPr>
        <w:spacing w:after="160" w:line="324" w:lineRule="auto"/>
      </w:pPr>
      <w:r>
        <w:rPr>
          <w:rFonts w:ascii="Newsreader" w:hAnsi="Newsreader"/>
          <w:b w:val="0"/>
          <w:i w:val="0"/>
          <w:color w:val="33302A"/>
          <w:sz w:val="22"/>
        </w:rPr>
        <w:t>The model is a bottom-up customer-driven projection: we count target customers in six segments (Big Pharma, Mid-Cap Biotech, Small Biotech, Contract Research Organizations, Academic Medical Centers, and Government/NIH), apply an average selling price (ASP) per segment, and grow customer counts on a defined ramp curve through 2030.</w:t>
      </w:r>
    </w:p>
    <w:p>
      <w:pPr>
        <w:spacing w:after="80" w:before="240"/>
      </w:pPr>
      <w:r>
        <w:rPr>
          <w:rFonts w:ascii="Helvetica Neue" w:hAnsi="Helvetica Neue"/>
          <w:b/>
          <w:i w:val="0"/>
          <w:color w:val="0F0F0F"/>
          <w:sz w:val="26"/>
        </w:rPr>
        <w:t>Why bottom-up, not top-down</w:t>
      </w:r>
    </w:p>
    <w:p>
      <w:pPr>
        <w:spacing w:after="160" w:line="324" w:lineRule="auto"/>
      </w:pPr>
      <w:r>
        <w:rPr>
          <w:rFonts w:ascii="Newsreader" w:hAnsi="Newsreader"/>
          <w:b w:val="0"/>
          <w:i w:val="0"/>
          <w:color w:val="33302A"/>
          <w:sz w:val="22"/>
        </w:rPr>
        <w:t>Top-down market-share targets are unverifiable and rarely survive contact with operating reality. Bottom-up customer-count models are testable against named deal pipelines and standard SaaS cohort metrics. We anchor each segment's ASP to comparable contract values disclosed in public 10-K filings (Recursion, Schrödinger, AbCellera) and discount 15–20 percent to reflect BiRAGAS's earlier commercial maturity.</w:t>
      </w:r>
    </w:p>
    <w:p>
      <w:pPr>
        <w:spacing w:after="80" w:before="240"/>
      </w:pPr>
      <w:r>
        <w:rPr>
          <w:rFonts w:ascii="Helvetica Neue" w:hAnsi="Helvetica Neue"/>
          <w:b/>
          <w:i w:val="0"/>
          <w:color w:val="0F0F0F"/>
          <w:sz w:val="26"/>
        </w:rPr>
        <w:t>The seven revenue streams</w:t>
      </w:r>
    </w:p>
    <w:p>
      <w:pPr>
        <w:spacing w:after="160" w:line="324" w:lineRule="auto"/>
      </w:pPr>
      <w:r>
        <w:rPr>
          <w:rFonts w:ascii="Newsreader" w:hAnsi="Newsreader"/>
          <w:b w:val="0"/>
          <w:i w:val="0"/>
          <w:color w:val="33302A"/>
          <w:sz w:val="22"/>
        </w:rPr>
        <w:t>(1) Big Pharma platform license — enterprise contracts with the world's top 25 pharmaceutical sponsors. Avg $1.5M per customer per year. (2) Mid-Cap Biotech modular license — companies with $50M+ annual R&amp;D budgets, licensing one or more BiRAGAS modules. Avg $0.55M. (3) Small Biotech SaaS — Series A and B startups paying for self-serve platform access. Avg $0.16M. (4) CRO platform license — global tier-1 contract-research organizations re-licensing BiRAGAS modules to their own clients. Avg $0.85M. (5) Academic Medical Center research-tier license — top-150 US AMCs and equivalent international institutions. Avg $0.12M. (6) Government / NIH contract — federally-funded labs and consortia. Avg $0.20M. (7) Co-development partnerships — strategic arrangements where BiRAGAS operates upstream target discovery for a sponsor's specific indication. $5M upfront + $38M aggregate milestones + 3–7% royalty on launched therapy.</w:t>
      </w:r>
    </w:p>
    <w:p>
      <w:pPr>
        <w:spacing w:after="80" w:before="240"/>
      </w:pPr>
      <w:r>
        <w:rPr>
          <w:rFonts w:ascii="Helvetica Neue" w:hAnsi="Helvetica Neue"/>
          <w:b/>
          <w:i w:val="0"/>
          <w:color w:val="0F0F0F"/>
          <w:sz w:val="26"/>
        </w:rPr>
        <w:t>Conservatism guardrails</w:t>
      </w:r>
    </w:p>
    <w:p>
      <w:pPr>
        <w:spacing w:after="160" w:line="324" w:lineRule="auto"/>
      </w:pPr>
      <w:r>
        <w:rPr>
          <w:rFonts w:ascii="Newsreader" w:hAnsi="Newsreader"/>
          <w:b w:val="0"/>
          <w:i w:val="0"/>
          <w:color w:val="33302A"/>
          <w:sz w:val="22"/>
        </w:rPr>
        <w:t>We exclude five categories of revenue that other models routinely include but we believe are speculative: (a) any premium pricing from the milestone-gated Refund Right rider; (b) IP licensing transactions; (c) M&amp;A; (d) joint-venture income; (e) international expansion beyond the named Foreign Pharma segment. We also exclude any consulting revenue from contracts smaller than $50,000.</w:t>
      </w:r>
    </w:p>
    <w:p>
      <w:r>
        <w:br w:type="page"/>
      </w:r>
    </w:p>
    <w:p>
      <w:pPr>
        <w:spacing w:after="120" w:before="240"/>
        <w:pBdr>
          <w:bottom w:val="single" w:sz="6" w:space="1" w:color="BBBBBB"/>
        </w:pBdr>
      </w:pPr>
      <w:r>
        <w:rPr>
          <w:rFonts w:ascii="Newsreader" w:hAnsi="Newsreader"/>
          <w:b w:val="0"/>
          <w:i/>
          <w:color w:val="0F0F0F"/>
          <w:sz w:val="36"/>
        </w:rPr>
        <w:t>Market Analysis</w:t>
      </w:r>
    </w:p>
    <w:p>
      <w:pPr>
        <w:spacing w:after="160" w:line="324" w:lineRule="auto"/>
      </w:pPr>
      <w:r>
        <w:rPr>
          <w:rFonts w:ascii="Newsreader" w:hAnsi="Newsreader"/>
          <w:b w:val="0"/>
          <w:i w:val="0"/>
          <w:color w:val="33302A"/>
          <w:sz w:val="22"/>
        </w:rPr>
        <w:t>BiRAGAS plugs into three categories of addressable market: foundational platform markets (where BiRAGAS is the analytical layer competing for analysis budget), the RNA-sequencing and RNA-therapeutics markets (where BiRAGAS-derived target identification accelerates an existing $80B+ drug discovery wave), and individual disease verticals (where BiRAGAS contributes target ID, patient stratification, and companion-diagnostic discovery).</w:t>
      </w:r>
    </w:p>
    <w:p>
      <w:pPr>
        <w:spacing w:after="80" w:before="240"/>
      </w:pPr>
      <w:r>
        <w:rPr>
          <w:rFonts w:ascii="Helvetica Neue" w:hAnsi="Helvetica Neue"/>
          <w:b/>
          <w:i w:val="0"/>
          <w:color w:val="0F0F0F"/>
          <w:sz w:val="26"/>
        </w:rPr>
        <w:t>Foundational markets</w:t>
      </w:r>
    </w:p>
    <w:p>
      <w:pPr>
        <w:spacing w:after="160" w:line="324" w:lineRule="auto"/>
      </w:pPr>
      <w:r>
        <w:rPr>
          <w:rFonts w:ascii="Newsreader" w:hAnsi="Newsreader"/>
          <w:b w:val="0"/>
          <w:i w:val="0"/>
          <w:color w:val="33302A"/>
          <w:sz w:val="22"/>
        </w:rPr>
        <w:t>AI Drug Discovery (TAM $2.8B → $14.5B, CAGR 39%). The market BiRAGAS competes in directly. Most platforms in this market do correlational target ID or molecular optimization downstream of target choice. BiRAGAS is the upstream causal-inference layer that the rest of the market needs but does not have.</w:t>
      </w:r>
    </w:p>
    <w:p>
      <w:pPr>
        <w:spacing w:after="160" w:line="324" w:lineRule="auto"/>
      </w:pPr>
      <w:r>
        <w:rPr>
          <w:rFonts w:ascii="Newsreader" w:hAnsi="Newsreader"/>
          <w:b w:val="0"/>
          <w:i w:val="0"/>
          <w:color w:val="33302A"/>
          <w:sz w:val="22"/>
        </w:rPr>
        <w:t>RNA Sequencing R&amp;D (TAM $9.2B → $27.4B, CAGR 24.6%). This is the substrate market — RNA-seq is the experimental modality BiRAGAS analyses are built on top of. The analysis-layer share of this market is approximately 15–20 percent, which means a SAM of $4–5 billion by 2030 just for analytics on existing sequencing output. BiRAGAS does not compete with Illumina, Thermo Fisher, or BGI — we extend their products' value.</w:t>
      </w:r>
    </w:p>
    <w:p>
      <w:pPr>
        <w:spacing w:after="160" w:line="324" w:lineRule="auto"/>
      </w:pPr>
      <w:r>
        <w:rPr>
          <w:rFonts w:ascii="Newsreader" w:hAnsi="Newsreader"/>
          <w:b w:val="0"/>
          <w:i w:val="0"/>
          <w:color w:val="33302A"/>
          <w:sz w:val="22"/>
        </w:rPr>
        <w:t>RNA Therapeutics (TAM $21.4B → $52.0B, CAGR 19.5%). The mRNA, siRNA, and ASO drug-discovery wave is the largest single causal-inference opportunity of the decade. Every RNA-therapeutic program needs validated targets — and the failure rate of correlational target identification in RNA therapeutics is even higher than in small-molecule programs because RNA drugs depend on exquisite biological specificity. BiRAGAS-addressable share: 3–5 percent of program spend, or approximately $1.6B by 2030.</w:t>
      </w:r>
    </w:p>
    <w:p>
      <w:pPr>
        <w:spacing w:after="160" w:line="324" w:lineRule="auto"/>
      </w:pPr>
      <w:r>
        <w:rPr>
          <w:rFonts w:ascii="Newsreader" w:hAnsi="Newsreader"/>
          <w:b w:val="0"/>
          <w:i w:val="0"/>
          <w:color w:val="33302A"/>
          <w:sz w:val="22"/>
        </w:rPr>
        <w:t>Target Identification &amp; Validation ($4.8B → $9.2B, CAGR 14%). The narrowest definition of BiRAGAS's directly addressable spend. This is the slice of pharma R&amp;D budget allocated specifically to target ID, validation, and biomarker discovery — activities that BiRAGAS replaces or augments end-to-end.</w:t>
      </w:r>
    </w:p>
    <w:p>
      <w:pPr>
        <w:spacing w:after="160" w:line="324" w:lineRule="auto"/>
      </w:pPr>
      <w:r>
        <w:rPr>
          <w:rFonts w:ascii="Newsreader" w:hAnsi="Newsreader"/>
          <w:b w:val="0"/>
          <w:i w:val="0"/>
          <w:color w:val="33302A"/>
          <w:sz w:val="22"/>
        </w:rPr>
        <w:t>Companion Diagnostics ($7.6B → $19.3B, CAGR 20.5%). Royalty-bearing motion. BiRAGAS-discovered biomarkers can co-develop with sponsor drugs and earn tiered royalties on the launched diagnostic.</w:t>
      </w:r>
    </w:p>
    <w:p>
      <w:pPr>
        <w:spacing w:after="80" w:before="240"/>
      </w:pPr>
      <w:r>
        <w:rPr>
          <w:rFonts w:ascii="Helvetica Neue" w:hAnsi="Helvetica Neue"/>
          <w:b/>
          <w:i w:val="0"/>
          <w:color w:val="0F0F0F"/>
          <w:sz w:val="26"/>
        </w:rPr>
        <w:t>Disease verticals — oncology</w:t>
      </w:r>
    </w:p>
    <w:p>
      <w:pPr>
        <w:spacing w:after="160" w:line="324" w:lineRule="auto"/>
      </w:pPr>
      <w:r>
        <w:rPr>
          <w:rFonts w:ascii="Newsreader" w:hAnsi="Newsreader"/>
          <w:b w:val="0"/>
          <w:i w:val="0"/>
          <w:color w:val="33302A"/>
          <w:sz w:val="22"/>
        </w:rPr>
        <w:t>Total oncology drug market: $220B in 2025, projected $396B in 2030. BiRAGAS plugs into target ID across all 7 modeled sub-segments: NSCLC ($50B by 2030), Breast ($52B), Colorectal ($24B), Prostate ($22B), Melanoma ($14.5B), Pancreatic ($9.2B), Hepatocellular ($7.1B). Every one of these markets is biomarker-stratified — i.e. patients are sorted into responder subgroups based on molecular characteristics. BiRAGAS's causal stratification is directly applicable, and the FDA's evolving guidance toward mechanistic causal evidence raises the bar in BiRAGAS's favor.</w:t>
      </w:r>
    </w:p>
    <w:p>
      <w:pPr>
        <w:spacing w:after="160" w:line="324" w:lineRule="auto"/>
      </w:pPr>
      <w:r>
        <w:rPr>
          <w:rFonts w:ascii="Newsreader" w:hAnsi="Newsreader"/>
          <w:b w:val="0"/>
          <w:i w:val="0"/>
          <w:color w:val="33302A"/>
          <w:sz w:val="22"/>
        </w:rPr>
        <w:t>AML (Acute Myeloid Leukemia, $4.4B → $7.2B). Specific opportunity: BiRAGAS has identified novel FLT3-resistance biomarkers and the WDR4 driver. Multiple sub-segments (NPM1, IDH1/2, TP53) are addressable. Patient stratification is the dominant unmet need in AML.</w:t>
      </w:r>
    </w:p>
    <w:p>
      <w:pPr>
        <w:spacing w:after="80" w:before="240"/>
      </w:pPr>
      <w:r>
        <w:rPr>
          <w:rFonts w:ascii="Helvetica Neue" w:hAnsi="Helvetica Neue"/>
          <w:b/>
          <w:i w:val="0"/>
          <w:color w:val="0F0F0F"/>
          <w:sz w:val="26"/>
        </w:rPr>
        <w:t>Disease verticals — other</w:t>
      </w:r>
    </w:p>
    <w:p>
      <w:pPr>
        <w:spacing w:after="160" w:line="324" w:lineRule="auto"/>
      </w:pPr>
      <w:r>
        <w:rPr>
          <w:rFonts w:ascii="Newsreader" w:hAnsi="Newsreader"/>
          <w:b w:val="0"/>
          <w:i w:val="0"/>
          <w:color w:val="33302A"/>
          <w:sz w:val="22"/>
        </w:rPr>
        <w:t>Diabetic Nephropathy ($5.8B → $18.6B, CAGR 26.2%). Highest growth rate among our landing verticals. BiRAGAS deploys a subscription clinic model + companion diagnostic, with in-house cohort data already validated. The market is rapidly expanding behind the SGLT2-inhibitor and finerenone tailwinds.</w:t>
      </w:r>
    </w:p>
    <w:p>
      <w:pPr>
        <w:spacing w:after="160" w:line="324" w:lineRule="auto"/>
      </w:pPr>
      <w:r>
        <w:rPr>
          <w:rFonts w:ascii="Newsreader" w:hAnsi="Newsreader"/>
          <w:b w:val="0"/>
          <w:i w:val="0"/>
          <w:color w:val="33302A"/>
          <w:sz w:val="22"/>
        </w:rPr>
        <w:t>IBD ($20.4B → $32B). Primary loss-of-response is the largest unmet need in the field. JAK / IL-23 / TNF response stratification is exactly what BiRAGAS's causal endotype modeling does. Conservative penetration target: 1.5% of SAM by Year-5.</w:t>
      </w:r>
    </w:p>
    <w:p>
      <w:pPr>
        <w:spacing w:after="160" w:line="324" w:lineRule="auto"/>
      </w:pPr>
      <w:r>
        <w:rPr>
          <w:rFonts w:ascii="Newsreader" w:hAnsi="Newsreader"/>
          <w:b w:val="0"/>
          <w:i w:val="0"/>
          <w:color w:val="33302A"/>
          <w:sz w:val="22"/>
        </w:rPr>
        <w:t>Connective Tissue Diseases. We model four sub-markets: Rheumatoid Arthritis ($28B → $36B), Lupus/SLE ($3B → $5.4B), Multiple Sclerosis ($25.4B → $32.4B), Psoriasis/PsA ($32.2B → $47B), plus orphan CTDs ($2.8B → $5.6B). The lupus market in particular is highly heterogeneous and underserved by current stratification — making it a natural BiRAGAS target.</w:t>
      </w:r>
    </w:p>
    <w:p>
      <w:pPr>
        <w:spacing w:after="160" w:line="324" w:lineRule="auto"/>
      </w:pPr>
      <w:r>
        <w:rPr>
          <w:rFonts w:ascii="Newsreader" w:hAnsi="Newsreader"/>
          <w:b w:val="0"/>
          <w:i w:val="0"/>
          <w:color w:val="33302A"/>
          <w:sz w:val="22"/>
        </w:rPr>
        <w:t>Neurodegeneration. Alzheimer's ($7.5B → $24.5B, CAGR 26.8%) post-Leqembi inflection. Parkinson's ($5.6B → $11.4B) and ALS ($0.9B → $1.9B) round out the addressable neuro segment.</w:t>
      </w:r>
    </w:p>
    <w:p>
      <w:pPr>
        <w:spacing w:after="160" w:line="324" w:lineRule="auto"/>
      </w:pPr>
      <w:r>
        <w:rPr>
          <w:rFonts w:ascii="Newsreader" w:hAnsi="Newsreader"/>
          <w:b w:val="0"/>
          <w:i w:val="0"/>
          <w:color w:val="33302A"/>
          <w:sz w:val="22"/>
        </w:rPr>
        <w:t>Metabolic and Other. Obesity ($22B → $70B) — the largest single-disease growth opportunity of the decade, driven by GLP-1 agonists. BiRAGAS-addressable for patient-responder stratification and secondary metabolic-cluster target discovery. Plus Depression/TRD ($19.5B → $28.6B) and non-diabetic CKD ($3.8B → $9.2B).</w:t>
      </w:r>
    </w:p>
    <w:p>
      <w:r>
        <w:br w:type="page"/>
      </w:r>
    </w:p>
    <w:p>
      <w:pPr>
        <w:spacing w:after="120" w:before="240"/>
        <w:pBdr>
          <w:bottom w:val="single" w:sz="6" w:space="1" w:color="BBBBBB"/>
        </w:pBdr>
      </w:pPr>
      <w:r>
        <w:rPr>
          <w:rFonts w:ascii="Newsreader" w:hAnsi="Newsreader"/>
          <w:b w:val="0"/>
          <w:i/>
          <w:color w:val="0F0F0F"/>
          <w:sz w:val="36"/>
        </w:rPr>
        <w:t>Market Sizing — Complete Table</w:t>
      </w:r>
    </w:p>
    <w:p>
      <w:pPr>
        <w:spacing w:after="160" w:line="324" w:lineRule="auto"/>
      </w:pPr>
      <w:r>
        <w:rPr>
          <w:rFonts w:ascii="Newsreader" w:hAnsi="Newsreader"/>
          <w:b w:val="0"/>
          <w:i w:val="0"/>
          <w:color w:val="33302A"/>
          <w:sz w:val="22"/>
        </w:rPr>
        <w:t>All 24 addressable markets, with 2025 baseline, 2030 projection, compound annual growth rate, and source citation.</w:t>
      </w:r>
    </w:p>
    <w:tbl>
      <w:tblPr>
        <w:tblStyle w:val="LightShading-Accent1"/>
        <w:tblW w:type="auto" w:w="0"/>
        <w:tblLook w:firstColumn="1" w:firstRow="1" w:lastColumn="0" w:lastRow="0" w:noHBand="0" w:noVBand="1" w:val="04A0"/>
      </w:tblPr>
      <w:tblGrid>
        <w:gridCol w:w="1904"/>
        <w:gridCol w:w="1904"/>
        <w:gridCol w:w="1904"/>
        <w:gridCol w:w="1904"/>
        <w:gridCol w:w="1904"/>
      </w:tblGrid>
      <w:tr>
        <w:tc>
          <w:tcPr>
            <w:tcW w:type="dxa" w:w="1904"/>
          </w:tcPr>
          <w:p>
            <w:r>
              <w:t>Code</w:t>
            </w:r>
          </w:p>
        </w:tc>
        <w:tc>
          <w:tcPr>
            <w:tcW w:type="dxa" w:w="1904"/>
          </w:tcPr>
          <w:p>
            <w:r>
              <w:t>Market</w:t>
            </w:r>
          </w:p>
        </w:tc>
        <w:tc>
          <w:tcPr>
            <w:tcW w:type="dxa" w:w="1904"/>
          </w:tcPr>
          <w:p>
            <w:r>
              <w:t>2025 ($B)</w:t>
            </w:r>
          </w:p>
        </w:tc>
        <w:tc>
          <w:tcPr>
            <w:tcW w:type="dxa" w:w="1904"/>
          </w:tcPr>
          <w:p>
            <w:r>
              <w:t>2030 ($B)</w:t>
            </w:r>
          </w:p>
        </w:tc>
        <w:tc>
          <w:tcPr>
            <w:tcW w:type="dxa" w:w="1904"/>
          </w:tcPr>
          <w:p>
            <w:r>
              <w:t>CAGR</w:t>
            </w:r>
          </w:p>
        </w:tc>
      </w:tr>
      <w:tr>
        <w:tc>
          <w:tcPr>
            <w:tcW w:type="dxa" w:w="1904"/>
          </w:tcPr>
          <w:p>
            <w:r>
              <w:t>AI-DD</w:t>
            </w:r>
          </w:p>
        </w:tc>
        <w:tc>
          <w:tcPr>
            <w:tcW w:type="dxa" w:w="1904"/>
          </w:tcPr>
          <w:p>
            <w:r>
              <w:t>AI Drug Discovery</w:t>
            </w:r>
          </w:p>
        </w:tc>
        <w:tc>
          <w:tcPr>
            <w:tcW w:type="dxa" w:w="1904"/>
          </w:tcPr>
          <w:p>
            <w:r>
              <w:t>$2.8</w:t>
            </w:r>
          </w:p>
        </w:tc>
        <w:tc>
          <w:tcPr>
            <w:tcW w:type="dxa" w:w="1904"/>
          </w:tcPr>
          <w:p>
            <w:r>
              <w:t>$14.5</w:t>
            </w:r>
          </w:p>
        </w:tc>
        <w:tc>
          <w:tcPr>
            <w:tcW w:type="dxa" w:w="1904"/>
          </w:tcPr>
          <w:p>
            <w:r>
              <w:t>39.0%</w:t>
            </w:r>
          </w:p>
        </w:tc>
      </w:tr>
      <w:tr>
        <w:tc>
          <w:tcPr>
            <w:tcW w:type="dxa" w:w="1904"/>
          </w:tcPr>
          <w:p>
            <w:r>
              <w:t>RNA-SEQ</w:t>
            </w:r>
          </w:p>
        </w:tc>
        <w:tc>
          <w:tcPr>
            <w:tcW w:type="dxa" w:w="1904"/>
          </w:tcPr>
          <w:p>
            <w:r>
              <w:t>RNA-Seq R&amp;D (instruments + reagents + analysis)</w:t>
            </w:r>
          </w:p>
        </w:tc>
        <w:tc>
          <w:tcPr>
            <w:tcW w:type="dxa" w:w="1904"/>
          </w:tcPr>
          <w:p>
            <w:r>
              <w:t>$9.2</w:t>
            </w:r>
          </w:p>
        </w:tc>
        <w:tc>
          <w:tcPr>
            <w:tcW w:type="dxa" w:w="1904"/>
          </w:tcPr>
          <w:p>
            <w:r>
              <w:t>$27.4</w:t>
            </w:r>
          </w:p>
        </w:tc>
        <w:tc>
          <w:tcPr>
            <w:tcW w:type="dxa" w:w="1904"/>
          </w:tcPr>
          <w:p>
            <w:r>
              <w:t>24.6%</w:t>
            </w:r>
          </w:p>
        </w:tc>
      </w:tr>
      <w:tr>
        <w:tc>
          <w:tcPr>
            <w:tcW w:type="dxa" w:w="1904"/>
          </w:tcPr>
          <w:p>
            <w:r>
              <w:t>RNA-THER</w:t>
            </w:r>
          </w:p>
        </w:tc>
        <w:tc>
          <w:tcPr>
            <w:tcW w:type="dxa" w:w="1904"/>
          </w:tcPr>
          <w:p>
            <w:r>
              <w:t>RNA Therapeutics (mRNA + siRNA + ASOs + saRNA)</w:t>
            </w:r>
          </w:p>
        </w:tc>
        <w:tc>
          <w:tcPr>
            <w:tcW w:type="dxa" w:w="1904"/>
          </w:tcPr>
          <w:p>
            <w:r>
              <w:t>$21.4</w:t>
            </w:r>
          </w:p>
        </w:tc>
        <w:tc>
          <w:tcPr>
            <w:tcW w:type="dxa" w:w="1904"/>
          </w:tcPr>
          <w:p>
            <w:r>
              <w:t>$52.0</w:t>
            </w:r>
          </w:p>
        </w:tc>
        <w:tc>
          <w:tcPr>
            <w:tcW w:type="dxa" w:w="1904"/>
          </w:tcPr>
          <w:p>
            <w:r>
              <w:t>19.5%</w:t>
            </w:r>
          </w:p>
        </w:tc>
      </w:tr>
      <w:tr>
        <w:tc>
          <w:tcPr>
            <w:tcW w:type="dxa" w:w="1904"/>
          </w:tcPr>
          <w:p>
            <w:r>
              <w:t>TARGET-ID</w:t>
            </w:r>
          </w:p>
        </w:tc>
        <w:tc>
          <w:tcPr>
            <w:tcW w:type="dxa" w:w="1904"/>
          </w:tcPr>
          <w:p>
            <w:r>
              <w:t>Target Identification &amp; Validation (pharma R&amp;D segment)</w:t>
            </w:r>
          </w:p>
        </w:tc>
        <w:tc>
          <w:tcPr>
            <w:tcW w:type="dxa" w:w="1904"/>
          </w:tcPr>
          <w:p>
            <w:r>
              <w:t>$4.8</w:t>
            </w:r>
          </w:p>
        </w:tc>
        <w:tc>
          <w:tcPr>
            <w:tcW w:type="dxa" w:w="1904"/>
          </w:tcPr>
          <w:p>
            <w:r>
              <w:t>$9.2</w:t>
            </w:r>
          </w:p>
        </w:tc>
        <w:tc>
          <w:tcPr>
            <w:tcW w:type="dxa" w:w="1904"/>
          </w:tcPr>
          <w:p>
            <w:r>
              <w:t>14.0%</w:t>
            </w:r>
          </w:p>
        </w:tc>
      </w:tr>
      <w:tr>
        <w:tc>
          <w:tcPr>
            <w:tcW w:type="dxa" w:w="1904"/>
          </w:tcPr>
          <w:p>
            <w:r>
              <w:t>CDX</w:t>
            </w:r>
          </w:p>
        </w:tc>
        <w:tc>
          <w:tcPr>
            <w:tcW w:type="dxa" w:w="1904"/>
          </w:tcPr>
          <w:p>
            <w:r>
              <w:t>Companion Diagnostics</w:t>
            </w:r>
          </w:p>
        </w:tc>
        <w:tc>
          <w:tcPr>
            <w:tcW w:type="dxa" w:w="1904"/>
          </w:tcPr>
          <w:p>
            <w:r>
              <w:t>$7.6</w:t>
            </w:r>
          </w:p>
        </w:tc>
        <w:tc>
          <w:tcPr>
            <w:tcW w:type="dxa" w:w="1904"/>
          </w:tcPr>
          <w:p>
            <w:r>
              <w:t>$19.3</w:t>
            </w:r>
          </w:p>
        </w:tc>
        <w:tc>
          <w:tcPr>
            <w:tcW w:type="dxa" w:w="1904"/>
          </w:tcPr>
          <w:p>
            <w:r>
              <w:t>20.5%</w:t>
            </w:r>
          </w:p>
        </w:tc>
      </w:tr>
      <w:tr>
        <w:tc>
          <w:tcPr>
            <w:tcW w:type="dxa" w:w="1904"/>
          </w:tcPr>
          <w:p>
            <w:r>
              <w:t>ONCOLOGY</w:t>
            </w:r>
          </w:p>
        </w:tc>
        <w:tc>
          <w:tcPr>
            <w:tcW w:type="dxa" w:w="1904"/>
          </w:tcPr>
          <w:p>
            <w:r>
              <w:t>Oncology (all solid + heme malignancies)</w:t>
            </w:r>
          </w:p>
        </w:tc>
        <w:tc>
          <w:tcPr>
            <w:tcW w:type="dxa" w:w="1904"/>
          </w:tcPr>
          <w:p>
            <w:r>
              <w:t>$220.0</w:t>
            </w:r>
          </w:p>
        </w:tc>
        <w:tc>
          <w:tcPr>
            <w:tcW w:type="dxa" w:w="1904"/>
          </w:tcPr>
          <w:p>
            <w:r>
              <w:t>$396.0</w:t>
            </w:r>
          </w:p>
        </w:tc>
        <w:tc>
          <w:tcPr>
            <w:tcW w:type="dxa" w:w="1904"/>
          </w:tcPr>
          <w:p>
            <w:r>
              <w:t>12.5%</w:t>
            </w:r>
          </w:p>
        </w:tc>
      </w:tr>
      <w:tr>
        <w:tc>
          <w:tcPr>
            <w:tcW w:type="dxa" w:w="1904"/>
          </w:tcPr>
          <w:p>
            <w:r>
              <w:t>NSCLC</w:t>
            </w:r>
          </w:p>
        </w:tc>
        <w:tc>
          <w:tcPr>
            <w:tcW w:type="dxa" w:w="1904"/>
          </w:tcPr>
          <w:p>
            <w:r>
              <w:t xml:space="preserve">  · NSCLC (non-small-cell lung)</w:t>
            </w:r>
          </w:p>
        </w:tc>
        <w:tc>
          <w:tcPr>
            <w:tcW w:type="dxa" w:w="1904"/>
          </w:tcPr>
          <w:p>
            <w:r>
              <w:t>$28.5</w:t>
            </w:r>
          </w:p>
        </w:tc>
        <w:tc>
          <w:tcPr>
            <w:tcW w:type="dxa" w:w="1904"/>
          </w:tcPr>
          <w:p>
            <w:r>
              <w:t>$50.0</w:t>
            </w:r>
          </w:p>
        </w:tc>
        <w:tc>
          <w:tcPr>
            <w:tcW w:type="dxa" w:w="1904"/>
          </w:tcPr>
          <w:p>
            <w:r>
              <w:t>11.9%</w:t>
            </w:r>
          </w:p>
        </w:tc>
      </w:tr>
      <w:tr>
        <w:tc>
          <w:tcPr>
            <w:tcW w:type="dxa" w:w="1904"/>
          </w:tcPr>
          <w:p>
            <w:r>
              <w:t>BREAST</w:t>
            </w:r>
          </w:p>
        </w:tc>
        <w:tc>
          <w:tcPr>
            <w:tcW w:type="dxa" w:w="1904"/>
          </w:tcPr>
          <w:p>
            <w:r>
              <w:t xml:space="preserve">  · Breast cancer</w:t>
            </w:r>
          </w:p>
        </w:tc>
        <w:tc>
          <w:tcPr>
            <w:tcW w:type="dxa" w:w="1904"/>
          </w:tcPr>
          <w:p>
            <w:r>
              <w:t>$32.0</w:t>
            </w:r>
          </w:p>
        </w:tc>
        <w:tc>
          <w:tcPr>
            <w:tcW w:type="dxa" w:w="1904"/>
          </w:tcPr>
          <w:p>
            <w:r>
              <w:t>$52.0</w:t>
            </w:r>
          </w:p>
        </w:tc>
        <w:tc>
          <w:tcPr>
            <w:tcW w:type="dxa" w:w="1904"/>
          </w:tcPr>
          <w:p>
            <w:r>
              <w:t>10.3%</w:t>
            </w:r>
          </w:p>
        </w:tc>
      </w:tr>
      <w:tr>
        <w:tc>
          <w:tcPr>
            <w:tcW w:type="dxa" w:w="1904"/>
          </w:tcPr>
          <w:p>
            <w:r>
              <w:t>COLORECTAL</w:t>
            </w:r>
          </w:p>
        </w:tc>
        <w:tc>
          <w:tcPr>
            <w:tcW w:type="dxa" w:w="1904"/>
          </w:tcPr>
          <w:p>
            <w:r>
              <w:t xml:space="preserve">  · Colorectal</w:t>
            </w:r>
          </w:p>
        </w:tc>
        <w:tc>
          <w:tcPr>
            <w:tcW w:type="dxa" w:w="1904"/>
          </w:tcPr>
          <w:p>
            <w:r>
              <w:t>$14.6</w:t>
            </w:r>
          </w:p>
        </w:tc>
        <w:tc>
          <w:tcPr>
            <w:tcW w:type="dxa" w:w="1904"/>
          </w:tcPr>
          <w:p>
            <w:r>
              <w:t>$24.0</w:t>
            </w:r>
          </w:p>
        </w:tc>
        <w:tc>
          <w:tcPr>
            <w:tcW w:type="dxa" w:w="1904"/>
          </w:tcPr>
          <w:p>
            <w:r>
              <w:t>10.5%</w:t>
            </w:r>
          </w:p>
        </w:tc>
      </w:tr>
      <w:tr>
        <w:tc>
          <w:tcPr>
            <w:tcW w:type="dxa" w:w="1904"/>
          </w:tcPr>
          <w:p>
            <w:r>
              <w:t>PROSTATE</w:t>
            </w:r>
          </w:p>
        </w:tc>
        <w:tc>
          <w:tcPr>
            <w:tcW w:type="dxa" w:w="1904"/>
          </w:tcPr>
          <w:p>
            <w:r>
              <w:t xml:space="preserve">  · Prostate</w:t>
            </w:r>
          </w:p>
        </w:tc>
        <w:tc>
          <w:tcPr>
            <w:tcW w:type="dxa" w:w="1904"/>
          </w:tcPr>
          <w:p>
            <w:r>
              <w:t>$13.1</w:t>
            </w:r>
          </w:p>
        </w:tc>
        <w:tc>
          <w:tcPr>
            <w:tcW w:type="dxa" w:w="1904"/>
          </w:tcPr>
          <w:p>
            <w:r>
              <w:t>$22.0</w:t>
            </w:r>
          </w:p>
        </w:tc>
        <w:tc>
          <w:tcPr>
            <w:tcW w:type="dxa" w:w="1904"/>
          </w:tcPr>
          <w:p>
            <w:r>
              <w:t>10.8%</w:t>
            </w:r>
          </w:p>
        </w:tc>
      </w:tr>
      <w:tr>
        <w:tc>
          <w:tcPr>
            <w:tcW w:type="dxa" w:w="1904"/>
          </w:tcPr>
          <w:p>
            <w:r>
              <w:t>MELANOMA</w:t>
            </w:r>
          </w:p>
        </w:tc>
        <w:tc>
          <w:tcPr>
            <w:tcW w:type="dxa" w:w="1904"/>
          </w:tcPr>
          <w:p>
            <w:r>
              <w:t xml:space="preserve">  · Melanoma</w:t>
            </w:r>
          </w:p>
        </w:tc>
        <w:tc>
          <w:tcPr>
            <w:tcW w:type="dxa" w:w="1904"/>
          </w:tcPr>
          <w:p>
            <w:r>
              <w:t>$8.5</w:t>
            </w:r>
          </w:p>
        </w:tc>
        <w:tc>
          <w:tcPr>
            <w:tcW w:type="dxa" w:w="1904"/>
          </w:tcPr>
          <w:p>
            <w:r>
              <w:t>$14.5</w:t>
            </w:r>
          </w:p>
        </w:tc>
        <w:tc>
          <w:tcPr>
            <w:tcW w:type="dxa" w:w="1904"/>
          </w:tcPr>
          <w:p>
            <w:r>
              <w:t>11.3%</w:t>
            </w:r>
          </w:p>
        </w:tc>
      </w:tr>
      <w:tr>
        <w:tc>
          <w:tcPr>
            <w:tcW w:type="dxa" w:w="1904"/>
          </w:tcPr>
          <w:p>
            <w:r>
              <w:t>PANC</w:t>
            </w:r>
          </w:p>
        </w:tc>
        <w:tc>
          <w:tcPr>
            <w:tcW w:type="dxa" w:w="1904"/>
          </w:tcPr>
          <w:p>
            <w:r>
              <w:t xml:space="preserve">  · Pancreatic</w:t>
            </w:r>
          </w:p>
        </w:tc>
        <w:tc>
          <w:tcPr>
            <w:tcW w:type="dxa" w:w="1904"/>
          </w:tcPr>
          <w:p>
            <w:r>
              <w:t>$4.8</w:t>
            </w:r>
          </w:p>
        </w:tc>
        <w:tc>
          <w:tcPr>
            <w:tcW w:type="dxa" w:w="1904"/>
          </w:tcPr>
          <w:p>
            <w:r>
              <w:t>$9.2</w:t>
            </w:r>
          </w:p>
        </w:tc>
        <w:tc>
          <w:tcPr>
            <w:tcW w:type="dxa" w:w="1904"/>
          </w:tcPr>
          <w:p>
            <w:r>
              <w:t>13.9%</w:t>
            </w:r>
          </w:p>
        </w:tc>
      </w:tr>
      <w:tr>
        <w:tc>
          <w:tcPr>
            <w:tcW w:type="dxa" w:w="1904"/>
          </w:tcPr>
          <w:p>
            <w:r>
              <w:t>HCC</w:t>
            </w:r>
          </w:p>
        </w:tc>
        <w:tc>
          <w:tcPr>
            <w:tcW w:type="dxa" w:w="1904"/>
          </w:tcPr>
          <w:p>
            <w:r>
              <w:t xml:space="preserve">  · Hepatocellular (HCC)</w:t>
            </w:r>
          </w:p>
        </w:tc>
        <w:tc>
          <w:tcPr>
            <w:tcW w:type="dxa" w:w="1904"/>
          </w:tcPr>
          <w:p>
            <w:r>
              <w:t>$3.6</w:t>
            </w:r>
          </w:p>
        </w:tc>
        <w:tc>
          <w:tcPr>
            <w:tcW w:type="dxa" w:w="1904"/>
          </w:tcPr>
          <w:p>
            <w:r>
              <w:t>$7.1</w:t>
            </w:r>
          </w:p>
        </w:tc>
        <w:tc>
          <w:tcPr>
            <w:tcW w:type="dxa" w:w="1904"/>
          </w:tcPr>
          <w:p>
            <w:r>
              <w:t>14.6%</w:t>
            </w:r>
          </w:p>
        </w:tc>
      </w:tr>
      <w:tr>
        <w:tc>
          <w:tcPr>
            <w:tcW w:type="dxa" w:w="1904"/>
          </w:tcPr>
          <w:p>
            <w:r>
              <w:t>AML</w:t>
            </w:r>
          </w:p>
        </w:tc>
        <w:tc>
          <w:tcPr>
            <w:tcW w:type="dxa" w:w="1904"/>
          </w:tcPr>
          <w:p>
            <w:r>
              <w:t>AML (Acute Myeloid Leukemia)</w:t>
            </w:r>
          </w:p>
        </w:tc>
        <w:tc>
          <w:tcPr>
            <w:tcW w:type="dxa" w:w="1904"/>
          </w:tcPr>
          <w:p>
            <w:r>
              <w:t>$4.4</w:t>
            </w:r>
          </w:p>
        </w:tc>
        <w:tc>
          <w:tcPr>
            <w:tcW w:type="dxa" w:w="1904"/>
          </w:tcPr>
          <w:p>
            <w:r>
              <w:t>$7.2</w:t>
            </w:r>
          </w:p>
        </w:tc>
        <w:tc>
          <w:tcPr>
            <w:tcW w:type="dxa" w:w="1904"/>
          </w:tcPr>
          <w:p>
            <w:r>
              <w:t>10.3%</w:t>
            </w:r>
          </w:p>
        </w:tc>
      </w:tr>
      <w:tr>
        <w:tc>
          <w:tcPr>
            <w:tcW w:type="dxa" w:w="1904"/>
          </w:tcPr>
          <w:p>
            <w:r>
              <w:t>DN</w:t>
            </w:r>
          </w:p>
        </w:tc>
        <w:tc>
          <w:tcPr>
            <w:tcW w:type="dxa" w:w="1904"/>
          </w:tcPr>
          <w:p>
            <w:r>
              <w:t>Diabetic Nephropathy</w:t>
            </w:r>
          </w:p>
        </w:tc>
        <w:tc>
          <w:tcPr>
            <w:tcW w:type="dxa" w:w="1904"/>
          </w:tcPr>
          <w:p>
            <w:r>
              <w:t>$5.8</w:t>
            </w:r>
          </w:p>
        </w:tc>
        <w:tc>
          <w:tcPr>
            <w:tcW w:type="dxa" w:w="1904"/>
          </w:tcPr>
          <w:p>
            <w:r>
              <w:t>$18.6</w:t>
            </w:r>
          </w:p>
        </w:tc>
        <w:tc>
          <w:tcPr>
            <w:tcW w:type="dxa" w:w="1904"/>
          </w:tcPr>
          <w:p>
            <w:r>
              <w:t>26.2%</w:t>
            </w:r>
          </w:p>
        </w:tc>
      </w:tr>
      <w:tr>
        <w:tc>
          <w:tcPr>
            <w:tcW w:type="dxa" w:w="1904"/>
          </w:tcPr>
          <w:p>
            <w:r>
              <w:t>IBD</w:t>
            </w:r>
          </w:p>
        </w:tc>
        <w:tc>
          <w:tcPr>
            <w:tcW w:type="dxa" w:w="1904"/>
          </w:tcPr>
          <w:p>
            <w:r>
              <w:t>IBD (Crohn's + Ulcerative Colitis)</w:t>
            </w:r>
          </w:p>
        </w:tc>
        <w:tc>
          <w:tcPr>
            <w:tcW w:type="dxa" w:w="1904"/>
          </w:tcPr>
          <w:p>
            <w:r>
              <w:t>$20.4</w:t>
            </w:r>
          </w:p>
        </w:tc>
        <w:tc>
          <w:tcPr>
            <w:tcW w:type="dxa" w:w="1904"/>
          </w:tcPr>
          <w:p>
            <w:r>
              <w:t>$32.0</w:t>
            </w:r>
          </w:p>
        </w:tc>
        <w:tc>
          <w:tcPr>
            <w:tcW w:type="dxa" w:w="1904"/>
          </w:tcPr>
          <w:p>
            <w:r>
              <w:t>9.4%</w:t>
            </w:r>
          </w:p>
        </w:tc>
      </w:tr>
      <w:tr>
        <w:tc>
          <w:tcPr>
            <w:tcW w:type="dxa" w:w="1904"/>
          </w:tcPr>
          <w:p>
            <w:r>
              <w:t>RA</w:t>
            </w:r>
          </w:p>
        </w:tc>
        <w:tc>
          <w:tcPr>
            <w:tcW w:type="dxa" w:w="1904"/>
          </w:tcPr>
          <w:p>
            <w:r>
              <w:t>RA (Rheumatoid Arthritis)</w:t>
            </w:r>
          </w:p>
        </w:tc>
        <w:tc>
          <w:tcPr>
            <w:tcW w:type="dxa" w:w="1904"/>
          </w:tcPr>
          <w:p>
            <w:r>
              <w:t>$28.0</w:t>
            </w:r>
          </w:p>
        </w:tc>
        <w:tc>
          <w:tcPr>
            <w:tcW w:type="dxa" w:w="1904"/>
          </w:tcPr>
          <w:p>
            <w:r>
              <w:t>$36.0</w:t>
            </w:r>
          </w:p>
        </w:tc>
        <w:tc>
          <w:tcPr>
            <w:tcW w:type="dxa" w:w="1904"/>
          </w:tcPr>
          <w:p>
            <w:r>
              <w:t>5.2%</w:t>
            </w:r>
          </w:p>
        </w:tc>
      </w:tr>
      <w:tr>
        <w:tc>
          <w:tcPr>
            <w:tcW w:type="dxa" w:w="1904"/>
          </w:tcPr>
          <w:p>
            <w:r>
              <w:t>SLE</w:t>
            </w:r>
          </w:p>
        </w:tc>
        <w:tc>
          <w:tcPr>
            <w:tcW w:type="dxa" w:w="1904"/>
          </w:tcPr>
          <w:p>
            <w:r>
              <w:t>SLE (Lupus)</w:t>
            </w:r>
          </w:p>
        </w:tc>
        <w:tc>
          <w:tcPr>
            <w:tcW w:type="dxa" w:w="1904"/>
          </w:tcPr>
          <w:p>
            <w:r>
              <w:t>$3.0</w:t>
            </w:r>
          </w:p>
        </w:tc>
        <w:tc>
          <w:tcPr>
            <w:tcW w:type="dxa" w:w="1904"/>
          </w:tcPr>
          <w:p>
            <w:r>
              <w:t>$5.4</w:t>
            </w:r>
          </w:p>
        </w:tc>
        <w:tc>
          <w:tcPr>
            <w:tcW w:type="dxa" w:w="1904"/>
          </w:tcPr>
          <w:p>
            <w:r>
              <w:t>12.4%</w:t>
            </w:r>
          </w:p>
        </w:tc>
      </w:tr>
      <w:tr>
        <w:tc>
          <w:tcPr>
            <w:tcW w:type="dxa" w:w="1904"/>
          </w:tcPr>
          <w:p>
            <w:r>
              <w:t>CTD-OTHER</w:t>
            </w:r>
          </w:p>
        </w:tc>
        <w:tc>
          <w:tcPr>
            <w:tcW w:type="dxa" w:w="1904"/>
          </w:tcPr>
          <w:p>
            <w:r>
              <w:t>CTD-other (Scleroderma · Sjögren's · myositis · MCTD)</w:t>
            </w:r>
          </w:p>
        </w:tc>
        <w:tc>
          <w:tcPr>
            <w:tcW w:type="dxa" w:w="1904"/>
          </w:tcPr>
          <w:p>
            <w:r>
              <w:t>$2.8</w:t>
            </w:r>
          </w:p>
        </w:tc>
        <w:tc>
          <w:tcPr>
            <w:tcW w:type="dxa" w:w="1904"/>
          </w:tcPr>
          <w:p>
            <w:r>
              <w:t>$5.6</w:t>
            </w:r>
          </w:p>
        </w:tc>
        <w:tc>
          <w:tcPr>
            <w:tcW w:type="dxa" w:w="1904"/>
          </w:tcPr>
          <w:p>
            <w:r>
              <w:t>14.9%</w:t>
            </w:r>
          </w:p>
        </w:tc>
      </w:tr>
      <w:tr>
        <w:tc>
          <w:tcPr>
            <w:tcW w:type="dxa" w:w="1904"/>
          </w:tcPr>
          <w:p>
            <w:r>
              <w:t>MS</w:t>
            </w:r>
          </w:p>
        </w:tc>
        <w:tc>
          <w:tcPr>
            <w:tcW w:type="dxa" w:w="1904"/>
          </w:tcPr>
          <w:p>
            <w:r>
              <w:t>MS (Multiple Sclerosis)</w:t>
            </w:r>
          </w:p>
        </w:tc>
        <w:tc>
          <w:tcPr>
            <w:tcW w:type="dxa" w:w="1904"/>
          </w:tcPr>
          <w:p>
            <w:r>
              <w:t>$25.4</w:t>
            </w:r>
          </w:p>
        </w:tc>
        <w:tc>
          <w:tcPr>
            <w:tcW w:type="dxa" w:w="1904"/>
          </w:tcPr>
          <w:p>
            <w:r>
              <w:t>$32.4</w:t>
            </w:r>
          </w:p>
        </w:tc>
        <w:tc>
          <w:tcPr>
            <w:tcW w:type="dxa" w:w="1904"/>
          </w:tcPr>
          <w:p>
            <w:r>
              <w:t>5.1%</w:t>
            </w:r>
          </w:p>
        </w:tc>
      </w:tr>
      <w:tr>
        <w:tc>
          <w:tcPr>
            <w:tcW w:type="dxa" w:w="1904"/>
          </w:tcPr>
          <w:p>
            <w:r>
              <w:t>PSO</w:t>
            </w:r>
          </w:p>
        </w:tc>
        <w:tc>
          <w:tcPr>
            <w:tcW w:type="dxa" w:w="1904"/>
          </w:tcPr>
          <w:p>
            <w:r>
              <w:t>Psoriasis &amp; PsA</w:t>
            </w:r>
          </w:p>
        </w:tc>
        <w:tc>
          <w:tcPr>
            <w:tcW w:type="dxa" w:w="1904"/>
          </w:tcPr>
          <w:p>
            <w:r>
              <w:t>$32.2</w:t>
            </w:r>
          </w:p>
        </w:tc>
        <w:tc>
          <w:tcPr>
            <w:tcW w:type="dxa" w:w="1904"/>
          </w:tcPr>
          <w:p>
            <w:r>
              <w:t>$47.0</w:t>
            </w:r>
          </w:p>
        </w:tc>
        <w:tc>
          <w:tcPr>
            <w:tcW w:type="dxa" w:w="1904"/>
          </w:tcPr>
          <w:p>
            <w:r>
              <w:t>7.8%</w:t>
            </w:r>
          </w:p>
        </w:tc>
      </w:tr>
      <w:tr>
        <w:tc>
          <w:tcPr>
            <w:tcW w:type="dxa" w:w="1904"/>
          </w:tcPr>
          <w:p>
            <w:r>
              <w:t>AD</w:t>
            </w:r>
          </w:p>
        </w:tc>
        <w:tc>
          <w:tcPr>
            <w:tcW w:type="dxa" w:w="1904"/>
          </w:tcPr>
          <w:p>
            <w:r>
              <w:t>Alzheimer's Disease</w:t>
            </w:r>
          </w:p>
        </w:tc>
        <w:tc>
          <w:tcPr>
            <w:tcW w:type="dxa" w:w="1904"/>
          </w:tcPr>
          <w:p>
            <w:r>
              <w:t>$7.5</w:t>
            </w:r>
          </w:p>
        </w:tc>
        <w:tc>
          <w:tcPr>
            <w:tcW w:type="dxa" w:w="1904"/>
          </w:tcPr>
          <w:p>
            <w:r>
              <w:t>$24.5</w:t>
            </w:r>
          </w:p>
        </w:tc>
        <w:tc>
          <w:tcPr>
            <w:tcW w:type="dxa" w:w="1904"/>
          </w:tcPr>
          <w:p>
            <w:r>
              <w:t>26.8%</w:t>
            </w:r>
          </w:p>
        </w:tc>
      </w:tr>
      <w:tr>
        <w:tc>
          <w:tcPr>
            <w:tcW w:type="dxa" w:w="1904"/>
          </w:tcPr>
          <w:p>
            <w:r>
              <w:t>PD</w:t>
            </w:r>
          </w:p>
        </w:tc>
        <w:tc>
          <w:tcPr>
            <w:tcW w:type="dxa" w:w="1904"/>
          </w:tcPr>
          <w:p>
            <w:r>
              <w:t>Parkinson's Disease</w:t>
            </w:r>
          </w:p>
        </w:tc>
        <w:tc>
          <w:tcPr>
            <w:tcW w:type="dxa" w:w="1904"/>
          </w:tcPr>
          <w:p>
            <w:r>
              <w:t>$5.6</w:t>
            </w:r>
          </w:p>
        </w:tc>
        <w:tc>
          <w:tcPr>
            <w:tcW w:type="dxa" w:w="1904"/>
          </w:tcPr>
          <w:p>
            <w:r>
              <w:t>$11.4</w:t>
            </w:r>
          </w:p>
        </w:tc>
        <w:tc>
          <w:tcPr>
            <w:tcW w:type="dxa" w:w="1904"/>
          </w:tcPr>
          <w:p>
            <w:r>
              <w:t>15.3%</w:t>
            </w:r>
          </w:p>
        </w:tc>
      </w:tr>
      <w:tr>
        <w:tc>
          <w:tcPr>
            <w:tcW w:type="dxa" w:w="1904"/>
          </w:tcPr>
          <w:p>
            <w:r>
              <w:t>ALS</w:t>
            </w:r>
          </w:p>
        </w:tc>
        <w:tc>
          <w:tcPr>
            <w:tcW w:type="dxa" w:w="1904"/>
          </w:tcPr>
          <w:p>
            <w:r>
              <w:t>ALS</w:t>
            </w:r>
          </w:p>
        </w:tc>
        <w:tc>
          <w:tcPr>
            <w:tcW w:type="dxa" w:w="1904"/>
          </w:tcPr>
          <w:p>
            <w:r>
              <w:t>$0.9</w:t>
            </w:r>
          </w:p>
        </w:tc>
        <w:tc>
          <w:tcPr>
            <w:tcW w:type="dxa" w:w="1904"/>
          </w:tcPr>
          <w:p>
            <w:r>
              <w:t>$1.9</w:t>
            </w:r>
          </w:p>
        </w:tc>
        <w:tc>
          <w:tcPr>
            <w:tcW w:type="dxa" w:w="1904"/>
          </w:tcPr>
          <w:p>
            <w:r>
              <w:t>16.1%</w:t>
            </w:r>
          </w:p>
        </w:tc>
      </w:tr>
      <w:tr>
        <w:tc>
          <w:tcPr>
            <w:tcW w:type="dxa" w:w="1904"/>
          </w:tcPr>
          <w:p>
            <w:r>
              <w:t>DEPRESSION</w:t>
            </w:r>
          </w:p>
        </w:tc>
        <w:tc>
          <w:tcPr>
            <w:tcW w:type="dxa" w:w="1904"/>
          </w:tcPr>
          <w:p>
            <w:r>
              <w:t>Depression / TRD</w:t>
            </w:r>
          </w:p>
        </w:tc>
        <w:tc>
          <w:tcPr>
            <w:tcW w:type="dxa" w:w="1904"/>
          </w:tcPr>
          <w:p>
            <w:r>
              <w:t>$19.5</w:t>
            </w:r>
          </w:p>
        </w:tc>
        <w:tc>
          <w:tcPr>
            <w:tcW w:type="dxa" w:w="1904"/>
          </w:tcPr>
          <w:p>
            <w:r>
              <w:t>$28.6</w:t>
            </w:r>
          </w:p>
        </w:tc>
        <w:tc>
          <w:tcPr>
            <w:tcW w:type="dxa" w:w="1904"/>
          </w:tcPr>
          <w:p>
            <w:r>
              <w:t>8.0%</w:t>
            </w:r>
          </w:p>
        </w:tc>
      </w:tr>
      <w:tr>
        <w:tc>
          <w:tcPr>
            <w:tcW w:type="dxa" w:w="1904"/>
          </w:tcPr>
          <w:p>
            <w:r>
              <w:t>OBESITY</w:t>
            </w:r>
          </w:p>
        </w:tc>
        <w:tc>
          <w:tcPr>
            <w:tcW w:type="dxa" w:w="1904"/>
          </w:tcPr>
          <w:p>
            <w:r>
              <w:t>Obesity / Metabolic</w:t>
            </w:r>
          </w:p>
        </w:tc>
        <w:tc>
          <w:tcPr>
            <w:tcW w:type="dxa" w:w="1904"/>
          </w:tcPr>
          <w:p>
            <w:r>
              <w:t>$22.0</w:t>
            </w:r>
          </w:p>
        </w:tc>
        <w:tc>
          <w:tcPr>
            <w:tcW w:type="dxa" w:w="1904"/>
          </w:tcPr>
          <w:p>
            <w:r>
              <w:t>$70.0</w:t>
            </w:r>
          </w:p>
        </w:tc>
        <w:tc>
          <w:tcPr>
            <w:tcW w:type="dxa" w:w="1904"/>
          </w:tcPr>
          <w:p>
            <w:r>
              <w:t>26.0%</w:t>
            </w:r>
          </w:p>
        </w:tc>
      </w:tr>
      <w:tr>
        <w:tc>
          <w:tcPr>
            <w:tcW w:type="dxa" w:w="1904"/>
          </w:tcPr>
          <w:p>
            <w:r>
              <w:t>CKD-NDM</w:t>
            </w:r>
          </w:p>
        </w:tc>
        <w:tc>
          <w:tcPr>
            <w:tcW w:type="dxa" w:w="1904"/>
          </w:tcPr>
          <w:p>
            <w:r>
              <w:t>CKD-non-diabetic</w:t>
            </w:r>
          </w:p>
        </w:tc>
        <w:tc>
          <w:tcPr>
            <w:tcW w:type="dxa" w:w="1904"/>
          </w:tcPr>
          <w:p>
            <w:r>
              <w:t>$3.8</w:t>
            </w:r>
          </w:p>
        </w:tc>
        <w:tc>
          <w:tcPr>
            <w:tcW w:type="dxa" w:w="1904"/>
          </w:tcPr>
          <w:p>
            <w:r>
              <w:t>$9.2</w:t>
            </w:r>
          </w:p>
        </w:tc>
        <w:tc>
          <w:tcPr>
            <w:tcW w:type="dxa" w:w="1904"/>
          </w:tcPr>
          <w:p>
            <w:r>
              <w:t>19.3%</w:t>
            </w:r>
          </w:p>
        </w:tc>
      </w:tr>
    </w:tbl>
    <w:p>
      <w:r>
        <w:br w:type="page"/>
      </w:r>
    </w:p>
    <w:p>
      <w:pPr>
        <w:spacing w:after="120" w:before="240"/>
        <w:pBdr>
          <w:bottom w:val="single" w:sz="6" w:space="1" w:color="BBBBBB"/>
        </w:pBdr>
      </w:pPr>
      <w:r>
        <w:rPr>
          <w:rFonts w:ascii="Newsreader" w:hAnsi="Newsreader"/>
          <w:b w:val="0"/>
          <w:i/>
          <w:color w:val="0F0F0F"/>
          <w:sz w:val="36"/>
        </w:rPr>
        <w:t>Revenue Model — 7 Streams</w:t>
      </w:r>
    </w:p>
    <w:p>
      <w:pPr>
        <w:spacing w:after="80" w:before="240"/>
      </w:pPr>
      <w:r>
        <w:rPr>
          <w:rFonts w:ascii="Helvetica Neue" w:hAnsi="Helvetica Neue"/>
          <w:b/>
          <w:i w:val="0"/>
          <w:color w:val="0F0F0F"/>
          <w:sz w:val="26"/>
        </w:rPr>
        <w:t>Big Pharma platform license</w:t>
      </w:r>
    </w:p>
    <w:p>
      <w:pPr>
        <w:spacing w:after="80"/>
      </w:pPr>
      <w:r>
        <w:rPr>
          <w:rFonts w:ascii="Newsreader" w:hAnsi="Newsreader"/>
          <w:b/>
          <w:i/>
          <w:color w:val="C8102E"/>
          <w:sz w:val="22"/>
        </w:rPr>
        <w:t>$1.50M / year (avg)</w:t>
      </w:r>
    </w:p>
    <w:p>
      <w:pPr>
        <w:spacing w:after="160" w:line="324" w:lineRule="auto"/>
      </w:pPr>
      <w:r>
        <w:rPr>
          <w:rFonts w:ascii="Newsreader" w:hAnsi="Newsreader"/>
          <w:b w:val="0"/>
          <w:i w:val="0"/>
          <w:color w:val="33302A"/>
          <w:sz w:val="22"/>
        </w:rPr>
        <w:t>Enterprise license to top-25 pharma sponsors. Includes full platform access, dedicated support, and per-program causal-inference runs. 9–12 month sales cycle. Year-5 base: 9 customers.</w:t>
      </w:r>
    </w:p>
    <w:p>
      <w:pPr>
        <w:spacing w:after="80" w:before="240"/>
      </w:pPr>
      <w:r>
        <w:rPr>
          <w:rFonts w:ascii="Helvetica Neue" w:hAnsi="Helvetica Neue"/>
          <w:b/>
          <w:i w:val="0"/>
          <w:color w:val="0F0F0F"/>
          <w:sz w:val="26"/>
        </w:rPr>
        <w:t>Mid-Cap Biotech modular license</w:t>
      </w:r>
    </w:p>
    <w:p>
      <w:pPr>
        <w:spacing w:after="80"/>
      </w:pPr>
      <w:r>
        <w:rPr>
          <w:rFonts w:ascii="Newsreader" w:hAnsi="Newsreader"/>
          <w:b/>
          <w:i/>
          <w:color w:val="C8102E"/>
          <w:sz w:val="22"/>
        </w:rPr>
        <w:t>$0.55M / year</w:t>
      </w:r>
    </w:p>
    <w:p>
      <w:pPr>
        <w:spacing w:after="160" w:line="324" w:lineRule="auto"/>
      </w:pPr>
      <w:r>
        <w:rPr>
          <w:rFonts w:ascii="Newsreader" w:hAnsi="Newsreader"/>
          <w:b w:val="0"/>
          <w:i w:val="0"/>
          <w:color w:val="33302A"/>
          <w:sz w:val="22"/>
        </w:rPr>
        <w:t>License to companies with $50M+ R&amp;D budgets. Modular — sponsors choose which BiRAGAS modules to access (e.g. causal DAG, Mendelian randomization, in-silico perturbation). 6 month sales cycle. Year-5 base: 50 customers.</w:t>
      </w:r>
    </w:p>
    <w:p>
      <w:pPr>
        <w:spacing w:after="80" w:before="240"/>
      </w:pPr>
      <w:r>
        <w:rPr>
          <w:rFonts w:ascii="Helvetica Neue" w:hAnsi="Helvetica Neue"/>
          <w:b/>
          <w:i w:val="0"/>
          <w:color w:val="0F0F0F"/>
          <w:sz w:val="26"/>
        </w:rPr>
        <w:t>Small Biotech SaaS subscription</w:t>
      </w:r>
    </w:p>
    <w:p>
      <w:pPr>
        <w:spacing w:after="80"/>
      </w:pPr>
      <w:r>
        <w:rPr>
          <w:rFonts w:ascii="Newsreader" w:hAnsi="Newsreader"/>
          <w:b/>
          <w:i/>
          <w:color w:val="C8102E"/>
          <w:sz w:val="22"/>
        </w:rPr>
        <w:t>$0.16M / year</w:t>
      </w:r>
    </w:p>
    <w:p>
      <w:pPr>
        <w:spacing w:after="160" w:line="324" w:lineRule="auto"/>
      </w:pPr>
      <w:r>
        <w:rPr>
          <w:rFonts w:ascii="Newsreader" w:hAnsi="Newsreader"/>
          <w:b w:val="0"/>
          <w:i w:val="0"/>
          <w:color w:val="33302A"/>
          <w:sz w:val="22"/>
        </w:rPr>
        <w:t>Self-serve SaaS for Series A and B startups. Lighter feature set, lower per-customer support overhead. 3 month sales cycle. Year-5 base: 90 customers.</w:t>
      </w:r>
    </w:p>
    <w:p>
      <w:pPr>
        <w:spacing w:after="80" w:before="240"/>
      </w:pPr>
      <w:r>
        <w:rPr>
          <w:rFonts w:ascii="Helvetica Neue" w:hAnsi="Helvetica Neue"/>
          <w:b/>
          <w:i w:val="0"/>
          <w:color w:val="0F0F0F"/>
          <w:sz w:val="26"/>
        </w:rPr>
        <w:t>CRO platform license</w:t>
      </w:r>
    </w:p>
    <w:p>
      <w:pPr>
        <w:spacing w:after="80"/>
      </w:pPr>
      <w:r>
        <w:rPr>
          <w:rFonts w:ascii="Newsreader" w:hAnsi="Newsreader"/>
          <w:b/>
          <w:i/>
          <w:color w:val="C8102E"/>
          <w:sz w:val="22"/>
        </w:rPr>
        <w:t>$0.85M / year</w:t>
      </w:r>
    </w:p>
    <w:p>
      <w:pPr>
        <w:spacing w:after="160" w:line="324" w:lineRule="auto"/>
      </w:pPr>
      <w:r>
        <w:rPr>
          <w:rFonts w:ascii="Newsreader" w:hAnsi="Newsreader"/>
          <w:b w:val="0"/>
          <w:i w:val="0"/>
          <w:color w:val="33302A"/>
          <w:sz w:val="22"/>
        </w:rPr>
        <w:t>Tier-1 contract-research organizations sub-license BiRAGAS modules to their own clients. White-label rights available. Year-5 base: 14 customers.</w:t>
      </w:r>
    </w:p>
    <w:p>
      <w:pPr>
        <w:spacing w:after="80" w:before="240"/>
      </w:pPr>
      <w:r>
        <w:rPr>
          <w:rFonts w:ascii="Helvetica Neue" w:hAnsi="Helvetica Neue"/>
          <w:b/>
          <w:i w:val="0"/>
          <w:color w:val="0F0F0F"/>
          <w:sz w:val="26"/>
        </w:rPr>
        <w:t>AMC research-tier license</w:t>
      </w:r>
    </w:p>
    <w:p>
      <w:pPr>
        <w:spacing w:after="80"/>
      </w:pPr>
      <w:r>
        <w:rPr>
          <w:rFonts w:ascii="Newsreader" w:hAnsi="Newsreader"/>
          <w:b/>
          <w:i/>
          <w:color w:val="C8102E"/>
          <w:sz w:val="22"/>
        </w:rPr>
        <w:t>$0.12M / year</w:t>
      </w:r>
    </w:p>
    <w:p>
      <w:pPr>
        <w:spacing w:after="160" w:line="324" w:lineRule="auto"/>
      </w:pPr>
      <w:r>
        <w:rPr>
          <w:rFonts w:ascii="Newsreader" w:hAnsi="Newsreader"/>
          <w:b w:val="0"/>
          <w:i w:val="0"/>
          <w:color w:val="33302A"/>
          <w:sz w:val="22"/>
        </w:rPr>
        <w:t>Top-150 US Academic Medical Centers and equivalent international research institutions. Research-only license — no commercial use. Year-5 base: 35 customers.</w:t>
      </w:r>
    </w:p>
    <w:p>
      <w:pPr>
        <w:spacing w:after="80" w:before="240"/>
      </w:pPr>
      <w:r>
        <w:rPr>
          <w:rFonts w:ascii="Helvetica Neue" w:hAnsi="Helvetica Neue"/>
          <w:b/>
          <w:i w:val="0"/>
          <w:color w:val="0F0F0F"/>
          <w:sz w:val="26"/>
        </w:rPr>
        <w:t>Government / NIH contract</w:t>
      </w:r>
    </w:p>
    <w:p>
      <w:pPr>
        <w:spacing w:after="80"/>
      </w:pPr>
      <w:r>
        <w:rPr>
          <w:rFonts w:ascii="Newsreader" w:hAnsi="Newsreader"/>
          <w:b/>
          <w:i/>
          <w:color w:val="C8102E"/>
          <w:sz w:val="22"/>
        </w:rPr>
        <w:t>$0.20M / year</w:t>
      </w:r>
    </w:p>
    <w:p>
      <w:pPr>
        <w:spacing w:after="160" w:line="324" w:lineRule="auto"/>
      </w:pPr>
      <w:r>
        <w:rPr>
          <w:rFonts w:ascii="Newsreader" w:hAnsi="Newsreader"/>
          <w:b w:val="0"/>
          <w:i w:val="0"/>
          <w:color w:val="33302A"/>
          <w:sz w:val="22"/>
        </w:rPr>
        <w:t>Federally-funded labs, consortia, and disease foundations. NIH grant-attached pricing. Year-5 base: 22 customers.</w:t>
      </w:r>
    </w:p>
    <w:p>
      <w:pPr>
        <w:spacing w:after="80" w:before="240"/>
      </w:pPr>
      <w:r>
        <w:rPr>
          <w:rFonts w:ascii="Helvetica Neue" w:hAnsi="Helvetica Neue"/>
          <w:b/>
          <w:i w:val="0"/>
          <w:color w:val="0F0F0F"/>
          <w:sz w:val="26"/>
        </w:rPr>
        <w:t>Co-development partnerships</w:t>
      </w:r>
    </w:p>
    <w:p>
      <w:pPr>
        <w:spacing w:after="80"/>
      </w:pPr>
      <w:r>
        <w:rPr>
          <w:rFonts w:ascii="Newsreader" w:hAnsi="Newsreader"/>
          <w:b/>
          <w:i/>
          <w:color w:val="C8102E"/>
          <w:sz w:val="22"/>
        </w:rPr>
        <w:t>$5M upfront + $38M milestones + 3–7% royalty</w:t>
      </w:r>
    </w:p>
    <w:p>
      <w:pPr>
        <w:spacing w:after="160" w:line="324" w:lineRule="auto"/>
      </w:pPr>
      <w:r>
        <w:rPr>
          <w:rFonts w:ascii="Newsreader" w:hAnsi="Newsreader"/>
          <w:b w:val="0"/>
          <w:i w:val="0"/>
          <w:color w:val="33302A"/>
          <w:sz w:val="22"/>
        </w:rPr>
        <w:t>Strategic arrangements with named pharma partners where BiRAGAS operates upstream target discovery for a specific indication. New partnerships: 0/1/2/3/4 over 5 years (base). Each partnership earns $5M upfront, $8M development milestone year +2, $12M year +3, $18M commercial-readiness milestone year +4, then ongoing royalty.</w:t>
      </w:r>
    </w:p>
    <w:p>
      <w:pPr>
        <w:spacing w:after="80" w:before="240"/>
      </w:pPr>
      <w:r>
        <w:rPr>
          <w:rFonts w:ascii="Helvetica Neue" w:hAnsi="Helvetica Neue"/>
          <w:b/>
          <w:i w:val="0"/>
          <w:color w:val="0F0F0F"/>
          <w:sz w:val="26"/>
        </w:rPr>
        <w:t>Companion Diagnostic royalties</w:t>
      </w:r>
    </w:p>
    <w:p>
      <w:pPr>
        <w:spacing w:after="80"/>
      </w:pPr>
      <w:r>
        <w:rPr>
          <w:rFonts w:ascii="Newsreader" w:hAnsi="Newsreader"/>
          <w:b/>
          <w:i/>
          <w:color w:val="C8102E"/>
          <w:sz w:val="22"/>
        </w:rPr>
        <w:t>$1.2M → $6.0M / launch / year</w:t>
      </w:r>
    </w:p>
    <w:p>
      <w:pPr>
        <w:spacing w:after="160" w:line="324" w:lineRule="auto"/>
      </w:pPr>
      <w:r>
        <w:rPr>
          <w:rFonts w:ascii="Newsreader" w:hAnsi="Newsreader"/>
          <w:b w:val="0"/>
          <w:i w:val="0"/>
          <w:color w:val="33302A"/>
          <w:sz w:val="22"/>
        </w:rPr>
        <w:t>Royalties on BiRAGAS-discovered companion diagnostics approved alongside sponsor drugs. First launch base case: 2029. Year-5 base: 3 cumulative launches contributing royalty.</w:t>
      </w:r>
    </w:p>
    <w:p>
      <w:r>
        <w:br w:type="page"/>
      </w:r>
    </w:p>
    <w:p>
      <w:pPr>
        <w:spacing w:after="120" w:before="240"/>
        <w:pBdr>
          <w:bottom w:val="single" w:sz="6" w:space="1" w:color="BBBBBB"/>
        </w:pBdr>
      </w:pPr>
      <w:r>
        <w:rPr>
          <w:rFonts w:ascii="Newsreader" w:hAnsi="Newsreader"/>
          <w:b w:val="0"/>
          <w:i/>
          <w:color w:val="0F0F0F"/>
          <w:sz w:val="36"/>
        </w:rPr>
        <w:t>5-Year Projections — Base / Bull / Bear</w:t>
      </w:r>
    </w:p>
    <w:p>
      <w:pPr>
        <w:spacing w:after="80" w:before="240"/>
      </w:pPr>
      <w:r>
        <w:rPr>
          <w:rFonts w:ascii="Helvetica Neue" w:hAnsi="Helvetica Neue"/>
          <w:b/>
          <w:i w:val="0"/>
          <w:color w:val="0F0F0F"/>
          <w:sz w:val="26"/>
        </w:rPr>
        <w:t>Base case</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t>$M</w:t>
            </w:r>
          </w:p>
        </w:tc>
        <w:tc>
          <w:tcPr>
            <w:tcW w:type="dxa" w:w="1586"/>
          </w:tcPr>
          <w:p>
            <w:r>
              <w:t>2026</w:t>
            </w:r>
          </w:p>
        </w:tc>
        <w:tc>
          <w:tcPr>
            <w:tcW w:type="dxa" w:w="1586"/>
          </w:tcPr>
          <w:p>
            <w:r>
              <w:t>2027</w:t>
            </w:r>
          </w:p>
        </w:tc>
        <w:tc>
          <w:tcPr>
            <w:tcW w:type="dxa" w:w="1586"/>
          </w:tcPr>
          <w:p>
            <w:r>
              <w:t>2028</w:t>
            </w:r>
          </w:p>
        </w:tc>
        <w:tc>
          <w:tcPr>
            <w:tcW w:type="dxa" w:w="1586"/>
          </w:tcPr>
          <w:p>
            <w:r>
              <w:t>2029</w:t>
            </w:r>
          </w:p>
        </w:tc>
        <w:tc>
          <w:tcPr>
            <w:tcW w:type="dxa" w:w="1586"/>
          </w:tcPr>
          <w:p>
            <w:r>
              <w:t>2030</w:t>
            </w:r>
          </w:p>
        </w:tc>
      </w:tr>
      <w:tr>
        <w:tc>
          <w:tcPr>
            <w:tcW w:type="dxa" w:w="1586"/>
          </w:tcPr>
          <w:p>
            <w:r>
              <w:t>SaaS revenue</w:t>
            </w:r>
          </w:p>
        </w:tc>
        <w:tc>
          <w:tcPr>
            <w:tcW w:type="dxa" w:w="1586"/>
          </w:tcPr>
          <w:p>
            <w:r>
              <w:t>$21.4</w:t>
            </w:r>
          </w:p>
        </w:tc>
        <w:tc>
          <w:tcPr>
            <w:tcW w:type="dxa" w:w="1586"/>
          </w:tcPr>
          <w:p>
            <w:r>
              <w:t>$52.8</w:t>
            </w:r>
          </w:p>
        </w:tc>
        <w:tc>
          <w:tcPr>
            <w:tcW w:type="dxa" w:w="1586"/>
          </w:tcPr>
          <w:p>
            <w:r>
              <w:t>$105.5</w:t>
            </w:r>
          </w:p>
        </w:tc>
        <w:tc>
          <w:tcPr>
            <w:tcW w:type="dxa" w:w="1586"/>
          </w:tcPr>
          <w:p>
            <w:r>
              <w:t>$165.8</w:t>
            </w:r>
          </w:p>
        </w:tc>
        <w:tc>
          <w:tcPr>
            <w:tcW w:type="dxa" w:w="1586"/>
          </w:tcPr>
          <w:p>
            <w:r>
              <w:t>$250.0</w:t>
            </w:r>
          </w:p>
        </w:tc>
      </w:tr>
      <w:tr>
        <w:tc>
          <w:tcPr>
            <w:tcW w:type="dxa" w:w="1586"/>
          </w:tcPr>
          <w:p>
            <w:r>
              <w:t>Co-dev revenue</w:t>
            </w:r>
          </w:p>
        </w:tc>
        <w:tc>
          <w:tcPr>
            <w:tcW w:type="dxa" w:w="1586"/>
          </w:tcPr>
          <w:p>
            <w:r>
              <w:t>$5.0</w:t>
            </w:r>
          </w:p>
        </w:tc>
        <w:tc>
          <w:tcPr>
            <w:tcW w:type="dxa" w:w="1586"/>
          </w:tcPr>
          <w:p>
            <w:r>
              <w:t>$23.0</w:t>
            </w:r>
          </w:p>
        </w:tc>
        <w:tc>
          <w:tcPr>
            <w:tcW w:type="dxa" w:w="1586"/>
          </w:tcPr>
          <w:p>
            <w:r>
              <w:t>$61.0</w:t>
            </w:r>
          </w:p>
        </w:tc>
        <w:tc>
          <w:tcPr>
            <w:tcW w:type="dxa" w:w="1586"/>
          </w:tcPr>
          <w:p>
            <w:r>
              <w:t>$129.0</w:t>
            </w:r>
          </w:p>
        </w:tc>
        <w:tc>
          <w:tcPr>
            <w:tcW w:type="dxa" w:w="1586"/>
          </w:tcPr>
          <w:p>
            <w:r>
              <w:t>$215.0</w:t>
            </w:r>
          </w:p>
        </w:tc>
      </w:tr>
      <w:tr>
        <w:tc>
          <w:tcPr>
            <w:tcW w:type="dxa" w:w="1586"/>
          </w:tcPr>
          <w:p>
            <w:r>
              <w:t>CDx royalty</w:t>
            </w:r>
          </w:p>
        </w:tc>
        <w:tc>
          <w:tcPr>
            <w:tcW w:type="dxa" w:w="1586"/>
          </w:tcPr>
          <w:p>
            <w:r>
              <w:t>$0.0</w:t>
            </w:r>
          </w:p>
        </w:tc>
        <w:tc>
          <w:tcPr>
            <w:tcW w:type="dxa" w:w="1586"/>
          </w:tcPr>
          <w:p>
            <w:r>
              <w:t>$0.0</w:t>
            </w:r>
          </w:p>
        </w:tc>
        <w:tc>
          <w:tcPr>
            <w:tcW w:type="dxa" w:w="1586"/>
          </w:tcPr>
          <w:p>
            <w:r>
              <w:t>$1.2</w:t>
            </w:r>
          </w:p>
        </w:tc>
        <w:tc>
          <w:tcPr>
            <w:tcW w:type="dxa" w:w="1586"/>
          </w:tcPr>
          <w:p>
            <w:r>
              <w:t>$6.0</w:t>
            </w:r>
          </w:p>
        </w:tc>
        <w:tc>
          <w:tcPr>
            <w:tcW w:type="dxa" w:w="1586"/>
          </w:tcPr>
          <w:p>
            <w:r>
              <w:t>$16.8</w:t>
            </w:r>
          </w:p>
        </w:tc>
      </w:tr>
      <w:tr>
        <w:tc>
          <w:tcPr>
            <w:tcW w:type="dxa" w:w="1586"/>
          </w:tcPr>
          <w:p>
            <w:r>
              <w:t>Total revenue</w:t>
            </w:r>
          </w:p>
        </w:tc>
        <w:tc>
          <w:tcPr>
            <w:tcW w:type="dxa" w:w="1586"/>
          </w:tcPr>
          <w:p>
            <w:r>
              <w:t>$26.4</w:t>
            </w:r>
          </w:p>
        </w:tc>
        <w:tc>
          <w:tcPr>
            <w:tcW w:type="dxa" w:w="1586"/>
          </w:tcPr>
          <w:p>
            <w:r>
              <w:t>$75.8</w:t>
            </w:r>
          </w:p>
        </w:tc>
        <w:tc>
          <w:tcPr>
            <w:tcW w:type="dxa" w:w="1586"/>
          </w:tcPr>
          <w:p>
            <w:r>
              <w:t>$167.7</w:t>
            </w:r>
          </w:p>
        </w:tc>
        <w:tc>
          <w:tcPr>
            <w:tcW w:type="dxa" w:w="1586"/>
          </w:tcPr>
          <w:p>
            <w:r>
              <w:t>$300.9</w:t>
            </w:r>
          </w:p>
        </w:tc>
        <w:tc>
          <w:tcPr>
            <w:tcW w:type="dxa" w:w="1586"/>
          </w:tcPr>
          <w:p>
            <w:r>
              <w:t>$481.8</w:t>
            </w:r>
          </w:p>
        </w:tc>
      </w:tr>
      <w:tr>
        <w:tc>
          <w:tcPr>
            <w:tcW w:type="dxa" w:w="1586"/>
          </w:tcPr>
          <w:p>
            <w:r>
              <w:t>Gross profit</w:t>
            </w:r>
          </w:p>
        </w:tc>
        <w:tc>
          <w:tcPr>
            <w:tcW w:type="dxa" w:w="1586"/>
          </w:tcPr>
          <w:p>
            <w:r>
              <w:t>$15.9</w:t>
            </w:r>
          </w:p>
        </w:tc>
        <w:tc>
          <w:tcPr>
            <w:tcW w:type="dxa" w:w="1586"/>
          </w:tcPr>
          <w:p>
            <w:r>
              <w:t>$53.1</w:t>
            </w:r>
          </w:p>
        </w:tc>
        <w:tc>
          <w:tcPr>
            <w:tcW w:type="dxa" w:w="1586"/>
          </w:tcPr>
          <w:p>
            <w:r>
              <w:t>$125.8</w:t>
            </w:r>
          </w:p>
        </w:tc>
        <w:tc>
          <w:tcPr>
            <w:tcW w:type="dxa" w:w="1586"/>
          </w:tcPr>
          <w:p>
            <w:r>
              <w:t>$231.7</w:t>
            </w:r>
          </w:p>
        </w:tc>
        <w:tc>
          <w:tcPr>
            <w:tcW w:type="dxa" w:w="1586"/>
          </w:tcPr>
          <w:p>
            <w:r>
              <w:t>$385.4</w:t>
            </w:r>
          </w:p>
        </w:tc>
      </w:tr>
      <w:tr>
        <w:tc>
          <w:tcPr>
            <w:tcW w:type="dxa" w:w="1586"/>
          </w:tcPr>
          <w:p>
            <w:r>
              <w:t>Gross margin %</w:t>
            </w:r>
          </w:p>
        </w:tc>
        <w:tc>
          <w:tcPr>
            <w:tcW w:type="dxa" w:w="1586"/>
          </w:tcPr>
          <w:p>
            <w:r>
              <w:t>60.0%</w:t>
            </w:r>
          </w:p>
        </w:tc>
        <w:tc>
          <w:tcPr>
            <w:tcW w:type="dxa" w:w="1586"/>
          </w:tcPr>
          <w:p>
            <w:r>
              <w:t>70.0%</w:t>
            </w:r>
          </w:p>
        </w:tc>
        <w:tc>
          <w:tcPr>
            <w:tcW w:type="dxa" w:w="1586"/>
          </w:tcPr>
          <w:p>
            <w:r>
              <w:t>75.0%</w:t>
            </w:r>
          </w:p>
        </w:tc>
        <w:tc>
          <w:tcPr>
            <w:tcW w:type="dxa" w:w="1586"/>
          </w:tcPr>
          <w:p>
            <w:r>
              <w:t>77.0%</w:t>
            </w:r>
          </w:p>
        </w:tc>
        <w:tc>
          <w:tcPr>
            <w:tcW w:type="dxa" w:w="1586"/>
          </w:tcPr>
          <w:p>
            <w:r>
              <w:t>80.0%</w:t>
            </w:r>
          </w:p>
        </w:tc>
      </w:tr>
      <w:tr>
        <w:tc>
          <w:tcPr>
            <w:tcW w:type="dxa" w:w="1586"/>
          </w:tcPr>
          <w:p>
            <w:r>
              <w:t>OpEx</w:t>
            </w:r>
          </w:p>
        </w:tc>
        <w:tc>
          <w:tcPr>
            <w:tcW w:type="dxa" w:w="1586"/>
          </w:tcPr>
          <w:p>
            <w:r>
              <w:t>$-19.8</w:t>
            </w:r>
          </w:p>
        </w:tc>
        <w:tc>
          <w:tcPr>
            <w:tcW w:type="dxa" w:w="1586"/>
          </w:tcPr>
          <w:p>
            <w:r>
              <w:t>$-40.2</w:t>
            </w:r>
          </w:p>
        </w:tc>
        <w:tc>
          <w:tcPr>
            <w:tcW w:type="dxa" w:w="1586"/>
          </w:tcPr>
          <w:p>
            <w:r>
              <w:t>$-82.8</w:t>
            </w:r>
          </w:p>
        </w:tc>
        <w:tc>
          <w:tcPr>
            <w:tcW w:type="dxa" w:w="1586"/>
          </w:tcPr>
          <w:p>
            <w:r>
              <w:t>$-129.4</w:t>
            </w:r>
          </w:p>
        </w:tc>
        <w:tc>
          <w:tcPr>
            <w:tcW w:type="dxa" w:w="1586"/>
          </w:tcPr>
          <w:p>
            <w:r>
              <w:t>$-187.9</w:t>
            </w:r>
          </w:p>
        </w:tc>
      </w:tr>
      <w:tr>
        <w:tc>
          <w:tcPr>
            <w:tcW w:type="dxa" w:w="1586"/>
          </w:tcPr>
          <w:p>
            <w:r>
              <w:t>EBITDA</w:t>
            </w:r>
          </w:p>
        </w:tc>
        <w:tc>
          <w:tcPr>
            <w:tcW w:type="dxa" w:w="1586"/>
          </w:tcPr>
          <w:p>
            <w:r>
              <w:t>$-4.0</w:t>
            </w:r>
          </w:p>
        </w:tc>
        <w:tc>
          <w:tcPr>
            <w:tcW w:type="dxa" w:w="1586"/>
          </w:tcPr>
          <w:p>
            <w:r>
              <w:t>$12.9</w:t>
            </w:r>
          </w:p>
        </w:tc>
        <w:tc>
          <w:tcPr>
            <w:tcW w:type="dxa" w:w="1586"/>
          </w:tcPr>
          <w:p>
            <w:r>
              <w:t>$42.9</w:t>
            </w:r>
          </w:p>
        </w:tc>
        <w:tc>
          <w:tcPr>
            <w:tcW w:type="dxa" w:w="1586"/>
          </w:tcPr>
          <w:p>
            <w:r>
              <w:t>$102.3</w:t>
            </w:r>
          </w:p>
        </w:tc>
        <w:tc>
          <w:tcPr>
            <w:tcW w:type="dxa" w:w="1586"/>
          </w:tcPr>
          <w:p>
            <w:r>
              <w:t>$197.5</w:t>
            </w:r>
          </w:p>
        </w:tc>
      </w:tr>
      <w:tr>
        <w:tc>
          <w:tcPr>
            <w:tcW w:type="dxa" w:w="1586"/>
          </w:tcPr>
          <w:p>
            <w:r>
              <w:t>EBITDA margin %</w:t>
            </w:r>
          </w:p>
        </w:tc>
        <w:tc>
          <w:tcPr>
            <w:tcW w:type="dxa" w:w="1586"/>
          </w:tcPr>
          <w:p>
            <w:r>
              <w:t>-15.0%</w:t>
            </w:r>
          </w:p>
        </w:tc>
        <w:tc>
          <w:tcPr>
            <w:tcW w:type="dxa" w:w="1586"/>
          </w:tcPr>
          <w:p>
            <w:r>
              <w:t>17.0%</w:t>
            </w:r>
          </w:p>
        </w:tc>
        <w:tc>
          <w:tcPr>
            <w:tcW w:type="dxa" w:w="1586"/>
          </w:tcPr>
          <w:p>
            <w:r>
              <w:t>25.6%</w:t>
            </w:r>
          </w:p>
        </w:tc>
        <w:tc>
          <w:tcPr>
            <w:tcW w:type="dxa" w:w="1586"/>
          </w:tcPr>
          <w:p>
            <w:r>
              <w:t>34.0%</w:t>
            </w:r>
          </w:p>
        </w:tc>
        <w:tc>
          <w:tcPr>
            <w:tcW w:type="dxa" w:w="1586"/>
          </w:tcPr>
          <w:p>
            <w:r>
              <w:t>41.0%</w:t>
            </w:r>
          </w:p>
        </w:tc>
      </w:tr>
    </w:tbl>
    <w:p/>
    <w:p>
      <w:pPr>
        <w:spacing w:after="80" w:before="240"/>
      </w:pPr>
      <w:r>
        <w:rPr>
          <w:rFonts w:ascii="Helvetica Neue" w:hAnsi="Helvetica Neue"/>
          <w:b/>
          <w:i w:val="0"/>
          <w:color w:val="0F0F0F"/>
          <w:sz w:val="26"/>
        </w:rPr>
        <w:t>Bull case (1.6× customers, 1.8× co-dev)</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t>$M</w:t>
            </w:r>
          </w:p>
        </w:tc>
        <w:tc>
          <w:tcPr>
            <w:tcW w:type="dxa" w:w="1586"/>
          </w:tcPr>
          <w:p>
            <w:r>
              <w:t>2026</w:t>
            </w:r>
          </w:p>
        </w:tc>
        <w:tc>
          <w:tcPr>
            <w:tcW w:type="dxa" w:w="1586"/>
          </w:tcPr>
          <w:p>
            <w:r>
              <w:t>2027</w:t>
            </w:r>
          </w:p>
        </w:tc>
        <w:tc>
          <w:tcPr>
            <w:tcW w:type="dxa" w:w="1586"/>
          </w:tcPr>
          <w:p>
            <w:r>
              <w:t>2028</w:t>
            </w:r>
          </w:p>
        </w:tc>
        <w:tc>
          <w:tcPr>
            <w:tcW w:type="dxa" w:w="1586"/>
          </w:tcPr>
          <w:p>
            <w:r>
              <w:t>2029</w:t>
            </w:r>
          </w:p>
        </w:tc>
        <w:tc>
          <w:tcPr>
            <w:tcW w:type="dxa" w:w="1586"/>
          </w:tcPr>
          <w:p>
            <w:r>
              <w:t>2030</w:t>
            </w:r>
          </w:p>
        </w:tc>
      </w:tr>
      <w:tr>
        <w:tc>
          <w:tcPr>
            <w:tcW w:type="dxa" w:w="1586"/>
          </w:tcPr>
          <w:p>
            <w:r>
              <w:t>SaaS revenue</w:t>
            </w:r>
          </w:p>
        </w:tc>
        <w:tc>
          <w:tcPr>
            <w:tcW w:type="dxa" w:w="1586"/>
          </w:tcPr>
          <w:p>
            <w:r>
              <w:t>$35.0</w:t>
            </w:r>
          </w:p>
        </w:tc>
        <w:tc>
          <w:tcPr>
            <w:tcW w:type="dxa" w:w="1586"/>
          </w:tcPr>
          <w:p>
            <w:r>
              <w:t>$84.5</w:t>
            </w:r>
          </w:p>
        </w:tc>
        <w:tc>
          <w:tcPr>
            <w:tcW w:type="dxa" w:w="1586"/>
          </w:tcPr>
          <w:p>
            <w:r>
              <w:t>$168.4</w:t>
            </w:r>
          </w:p>
        </w:tc>
        <w:tc>
          <w:tcPr>
            <w:tcW w:type="dxa" w:w="1586"/>
          </w:tcPr>
          <w:p>
            <w:r>
              <w:t>$264.8</w:t>
            </w:r>
          </w:p>
        </w:tc>
        <w:tc>
          <w:tcPr>
            <w:tcW w:type="dxa" w:w="1586"/>
          </w:tcPr>
          <w:p>
            <w:r>
              <w:t>$399.8</w:t>
            </w:r>
          </w:p>
        </w:tc>
      </w:tr>
      <w:tr>
        <w:tc>
          <w:tcPr>
            <w:tcW w:type="dxa" w:w="1586"/>
          </w:tcPr>
          <w:p>
            <w:r>
              <w:t>Co-dev revenue</w:t>
            </w:r>
          </w:p>
        </w:tc>
        <w:tc>
          <w:tcPr>
            <w:tcW w:type="dxa" w:w="1586"/>
          </w:tcPr>
          <w:p>
            <w:r>
              <w:t>$10.0</w:t>
            </w:r>
          </w:p>
        </w:tc>
        <w:tc>
          <w:tcPr>
            <w:tcW w:type="dxa" w:w="1586"/>
          </w:tcPr>
          <w:p>
            <w:r>
              <w:t>$41.0</w:t>
            </w:r>
          </w:p>
        </w:tc>
        <w:tc>
          <w:tcPr>
            <w:tcW w:type="dxa" w:w="1586"/>
          </w:tcPr>
          <w:p>
            <w:r>
              <w:t>$109.0</w:t>
            </w:r>
          </w:p>
        </w:tc>
        <w:tc>
          <w:tcPr>
            <w:tcW w:type="dxa" w:w="1586"/>
          </w:tcPr>
          <w:p>
            <w:r>
              <w:t>$233.0</w:t>
            </w:r>
          </w:p>
        </w:tc>
        <w:tc>
          <w:tcPr>
            <w:tcW w:type="dxa" w:w="1586"/>
          </w:tcPr>
          <w:p>
            <w:r>
              <w:t>$382.0</w:t>
            </w:r>
          </w:p>
        </w:tc>
      </w:tr>
      <w:tr>
        <w:tc>
          <w:tcPr>
            <w:tcW w:type="dxa" w:w="1586"/>
          </w:tcPr>
          <w:p>
            <w:r>
              <w:t>CDx royalty</w:t>
            </w:r>
          </w:p>
        </w:tc>
        <w:tc>
          <w:tcPr>
            <w:tcW w:type="dxa" w:w="1586"/>
          </w:tcPr>
          <w:p>
            <w:r>
              <w:t>$0.0</w:t>
            </w:r>
          </w:p>
        </w:tc>
        <w:tc>
          <w:tcPr>
            <w:tcW w:type="dxa" w:w="1586"/>
          </w:tcPr>
          <w:p>
            <w:r>
              <w:t>$0.0</w:t>
            </w:r>
          </w:p>
        </w:tc>
        <w:tc>
          <w:tcPr>
            <w:tcW w:type="dxa" w:w="1586"/>
          </w:tcPr>
          <w:p>
            <w:r>
              <w:t>$2.4</w:t>
            </w:r>
          </w:p>
        </w:tc>
        <w:tc>
          <w:tcPr>
            <w:tcW w:type="dxa" w:w="1586"/>
          </w:tcPr>
          <w:p>
            <w:r>
              <w:t>$12.0</w:t>
            </w:r>
          </w:p>
        </w:tc>
        <w:tc>
          <w:tcPr>
            <w:tcW w:type="dxa" w:w="1586"/>
          </w:tcPr>
          <w:p>
            <w:r>
              <w:t>$32.4</w:t>
            </w:r>
          </w:p>
        </w:tc>
      </w:tr>
      <w:tr>
        <w:tc>
          <w:tcPr>
            <w:tcW w:type="dxa" w:w="1586"/>
          </w:tcPr>
          <w:p>
            <w:r>
              <w:t>Total revenue</w:t>
            </w:r>
          </w:p>
        </w:tc>
        <w:tc>
          <w:tcPr>
            <w:tcW w:type="dxa" w:w="1586"/>
          </w:tcPr>
          <w:p>
            <w:r>
              <w:t>$45.0</w:t>
            </w:r>
          </w:p>
        </w:tc>
        <w:tc>
          <w:tcPr>
            <w:tcW w:type="dxa" w:w="1586"/>
          </w:tcPr>
          <w:p>
            <w:r>
              <w:t>$125.5</w:t>
            </w:r>
          </w:p>
        </w:tc>
        <w:tc>
          <w:tcPr>
            <w:tcW w:type="dxa" w:w="1586"/>
          </w:tcPr>
          <w:p>
            <w:r>
              <w:t>$279.8</w:t>
            </w:r>
          </w:p>
        </w:tc>
        <w:tc>
          <w:tcPr>
            <w:tcW w:type="dxa" w:w="1586"/>
          </w:tcPr>
          <w:p>
            <w:r>
              <w:t>$509.8</w:t>
            </w:r>
          </w:p>
        </w:tc>
        <w:tc>
          <w:tcPr>
            <w:tcW w:type="dxa" w:w="1586"/>
          </w:tcPr>
          <w:p>
            <w:r>
              <w:t>$814.2</w:t>
            </w:r>
          </w:p>
        </w:tc>
      </w:tr>
      <w:tr>
        <w:tc>
          <w:tcPr>
            <w:tcW w:type="dxa" w:w="1586"/>
          </w:tcPr>
          <w:p>
            <w:r>
              <w:t>Gross profit</w:t>
            </w:r>
          </w:p>
        </w:tc>
        <w:tc>
          <w:tcPr>
            <w:tcW w:type="dxa" w:w="1586"/>
          </w:tcPr>
          <w:p>
            <w:r>
              <w:t>$27.9</w:t>
            </w:r>
          </w:p>
        </w:tc>
        <w:tc>
          <w:tcPr>
            <w:tcW w:type="dxa" w:w="1586"/>
          </w:tcPr>
          <w:p>
            <w:r>
              <w:t>$90.3</w:t>
            </w:r>
          </w:p>
        </w:tc>
        <w:tc>
          <w:tcPr>
            <w:tcW w:type="dxa" w:w="1586"/>
          </w:tcPr>
          <w:p>
            <w:r>
              <w:t>$215.4</w:t>
            </w:r>
          </w:p>
        </w:tc>
        <w:tc>
          <w:tcPr>
            <w:tcW w:type="dxa" w:w="1586"/>
          </w:tcPr>
          <w:p>
            <w:r>
              <w:t>$402.7</w:t>
            </w:r>
          </w:p>
        </w:tc>
        <w:tc>
          <w:tcPr>
            <w:tcW w:type="dxa" w:w="1586"/>
          </w:tcPr>
          <w:p>
            <w:r>
              <w:t>$667.6</w:t>
            </w:r>
          </w:p>
        </w:tc>
      </w:tr>
      <w:tr>
        <w:tc>
          <w:tcPr>
            <w:tcW w:type="dxa" w:w="1586"/>
          </w:tcPr>
          <w:p>
            <w:r>
              <w:t>Gross margin %</w:t>
            </w:r>
          </w:p>
        </w:tc>
        <w:tc>
          <w:tcPr>
            <w:tcW w:type="dxa" w:w="1586"/>
          </w:tcPr>
          <w:p>
            <w:r>
              <w:t>62.0%</w:t>
            </w:r>
          </w:p>
        </w:tc>
        <w:tc>
          <w:tcPr>
            <w:tcW w:type="dxa" w:w="1586"/>
          </w:tcPr>
          <w:p>
            <w:r>
              <w:t>72.0%</w:t>
            </w:r>
          </w:p>
        </w:tc>
        <w:tc>
          <w:tcPr>
            <w:tcW w:type="dxa" w:w="1586"/>
          </w:tcPr>
          <w:p>
            <w:r>
              <w:t>77.0%</w:t>
            </w:r>
          </w:p>
        </w:tc>
        <w:tc>
          <w:tcPr>
            <w:tcW w:type="dxa" w:w="1586"/>
          </w:tcPr>
          <w:p>
            <w:r>
              <w:t>79.0%</w:t>
            </w:r>
          </w:p>
        </w:tc>
        <w:tc>
          <w:tcPr>
            <w:tcW w:type="dxa" w:w="1586"/>
          </w:tcPr>
          <w:p>
            <w:r>
              <w:t>82.0%</w:t>
            </w:r>
          </w:p>
        </w:tc>
      </w:tr>
      <w:tr>
        <w:tc>
          <w:tcPr>
            <w:tcW w:type="dxa" w:w="1586"/>
          </w:tcPr>
          <w:p>
            <w:r>
              <w:t>OpEx</w:t>
            </w:r>
          </w:p>
        </w:tc>
        <w:tc>
          <w:tcPr>
            <w:tcW w:type="dxa" w:w="1586"/>
          </w:tcPr>
          <w:p>
            <w:r>
              <w:t>$-28.3</w:t>
            </w:r>
          </w:p>
        </w:tc>
        <w:tc>
          <w:tcPr>
            <w:tcW w:type="dxa" w:w="1586"/>
          </w:tcPr>
          <w:p>
            <w:r>
              <w:t>$-56.5</w:t>
            </w:r>
          </w:p>
        </w:tc>
        <w:tc>
          <w:tcPr>
            <w:tcW w:type="dxa" w:w="1586"/>
          </w:tcPr>
          <w:p>
            <w:r>
              <w:t>$-117.5</w:t>
            </w:r>
          </w:p>
        </w:tc>
        <w:tc>
          <w:tcPr>
            <w:tcW w:type="dxa" w:w="1586"/>
          </w:tcPr>
          <w:p>
            <w:r>
              <w:t>$-178.4</w:t>
            </w:r>
          </w:p>
        </w:tc>
        <w:tc>
          <w:tcPr>
            <w:tcW w:type="dxa" w:w="1586"/>
          </w:tcPr>
          <w:p>
            <w:r>
              <w:t>$-252.4</w:t>
            </w:r>
          </w:p>
        </w:tc>
      </w:tr>
      <w:tr>
        <w:tc>
          <w:tcPr>
            <w:tcW w:type="dxa" w:w="1586"/>
          </w:tcPr>
          <w:p>
            <w:r>
              <w:t>EBITDA</w:t>
            </w:r>
          </w:p>
        </w:tc>
        <w:tc>
          <w:tcPr>
            <w:tcW w:type="dxa" w:w="1586"/>
          </w:tcPr>
          <w:p>
            <w:r>
              <w:t>$-0.4</w:t>
            </w:r>
          </w:p>
        </w:tc>
        <w:tc>
          <w:tcPr>
            <w:tcW w:type="dxa" w:w="1586"/>
          </w:tcPr>
          <w:p>
            <w:r>
              <w:t>$33.9</w:t>
            </w:r>
          </w:p>
        </w:tc>
        <w:tc>
          <w:tcPr>
            <w:tcW w:type="dxa" w:w="1586"/>
          </w:tcPr>
          <w:p>
            <w:r>
              <w:t>$97.9</w:t>
            </w:r>
          </w:p>
        </w:tc>
        <w:tc>
          <w:tcPr>
            <w:tcW w:type="dxa" w:w="1586"/>
          </w:tcPr>
          <w:p>
            <w:r>
              <w:t>$224.3</w:t>
            </w:r>
          </w:p>
        </w:tc>
        <w:tc>
          <w:tcPr>
            <w:tcW w:type="dxa" w:w="1586"/>
          </w:tcPr>
          <w:p>
            <w:r>
              <w:t>$415.2</w:t>
            </w:r>
          </w:p>
        </w:tc>
      </w:tr>
      <w:tr>
        <w:tc>
          <w:tcPr>
            <w:tcW w:type="dxa" w:w="1586"/>
          </w:tcPr>
          <w:p>
            <w:r>
              <w:t>EBITDA margin %</w:t>
            </w:r>
          </w:p>
        </w:tc>
        <w:tc>
          <w:tcPr>
            <w:tcW w:type="dxa" w:w="1586"/>
          </w:tcPr>
          <w:p>
            <w:r>
              <w:t>-1.0%</w:t>
            </w:r>
          </w:p>
        </w:tc>
        <w:tc>
          <w:tcPr>
            <w:tcW w:type="dxa" w:w="1586"/>
          </w:tcPr>
          <w:p>
            <w:r>
              <w:t>27.0%</w:t>
            </w:r>
          </w:p>
        </w:tc>
        <w:tc>
          <w:tcPr>
            <w:tcW w:type="dxa" w:w="1586"/>
          </w:tcPr>
          <w:p>
            <w:r>
              <w:t>35.0%</w:t>
            </w:r>
          </w:p>
        </w:tc>
        <w:tc>
          <w:tcPr>
            <w:tcW w:type="dxa" w:w="1586"/>
          </w:tcPr>
          <w:p>
            <w:r>
              <w:t>44.0%</w:t>
            </w:r>
          </w:p>
        </w:tc>
        <w:tc>
          <w:tcPr>
            <w:tcW w:type="dxa" w:w="1586"/>
          </w:tcPr>
          <w:p>
            <w:r>
              <w:t>51.0%</w:t>
            </w:r>
          </w:p>
        </w:tc>
      </w:tr>
    </w:tbl>
    <w:p/>
    <w:p>
      <w:pPr>
        <w:spacing w:after="80" w:before="240"/>
      </w:pPr>
      <w:r>
        <w:rPr>
          <w:rFonts w:ascii="Helvetica Neue" w:hAnsi="Helvetica Neue"/>
          <w:b/>
          <w:i w:val="0"/>
          <w:color w:val="0F0F0F"/>
          <w:sz w:val="26"/>
        </w:rPr>
        <w:t>Bear case (0.55× customers, 0.50× co-dev)</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t>$M</w:t>
            </w:r>
          </w:p>
        </w:tc>
        <w:tc>
          <w:tcPr>
            <w:tcW w:type="dxa" w:w="1586"/>
          </w:tcPr>
          <w:p>
            <w:r>
              <w:t>2026</w:t>
            </w:r>
          </w:p>
        </w:tc>
        <w:tc>
          <w:tcPr>
            <w:tcW w:type="dxa" w:w="1586"/>
          </w:tcPr>
          <w:p>
            <w:r>
              <w:t>2027</w:t>
            </w:r>
          </w:p>
        </w:tc>
        <w:tc>
          <w:tcPr>
            <w:tcW w:type="dxa" w:w="1586"/>
          </w:tcPr>
          <w:p>
            <w:r>
              <w:t>2028</w:t>
            </w:r>
          </w:p>
        </w:tc>
        <w:tc>
          <w:tcPr>
            <w:tcW w:type="dxa" w:w="1586"/>
          </w:tcPr>
          <w:p>
            <w:r>
              <w:t>2029</w:t>
            </w:r>
          </w:p>
        </w:tc>
        <w:tc>
          <w:tcPr>
            <w:tcW w:type="dxa" w:w="1586"/>
          </w:tcPr>
          <w:p>
            <w:r>
              <w:t>2030</w:t>
            </w:r>
          </w:p>
        </w:tc>
      </w:tr>
      <w:tr>
        <w:tc>
          <w:tcPr>
            <w:tcW w:type="dxa" w:w="1586"/>
          </w:tcPr>
          <w:p>
            <w:r>
              <w:t>SaaS revenue</w:t>
            </w:r>
          </w:p>
        </w:tc>
        <w:tc>
          <w:tcPr>
            <w:tcW w:type="dxa" w:w="1586"/>
          </w:tcPr>
          <w:p>
            <w:r>
              <w:t>$13.1</w:t>
            </w:r>
          </w:p>
        </w:tc>
        <w:tc>
          <w:tcPr>
            <w:tcW w:type="dxa" w:w="1586"/>
          </w:tcPr>
          <w:p>
            <w:r>
              <w:t>$28.3</w:t>
            </w:r>
          </w:p>
        </w:tc>
        <w:tc>
          <w:tcPr>
            <w:tcW w:type="dxa" w:w="1586"/>
          </w:tcPr>
          <w:p>
            <w:r>
              <w:t>$58.4</w:t>
            </w:r>
          </w:p>
        </w:tc>
        <w:tc>
          <w:tcPr>
            <w:tcW w:type="dxa" w:w="1586"/>
          </w:tcPr>
          <w:p>
            <w:r>
              <w:t>$90.8</w:t>
            </w:r>
          </w:p>
        </w:tc>
        <w:tc>
          <w:tcPr>
            <w:tcW w:type="dxa" w:w="1586"/>
          </w:tcPr>
          <w:p>
            <w:r>
              <w:t>$137.5</w:t>
            </w:r>
          </w:p>
        </w:tc>
      </w:tr>
      <w:tr>
        <w:tc>
          <w:tcPr>
            <w:tcW w:type="dxa" w:w="1586"/>
          </w:tcPr>
          <w:p>
            <w:r>
              <w:t>Co-dev revenue</w:t>
            </w:r>
          </w:p>
        </w:tc>
        <w:tc>
          <w:tcPr>
            <w:tcW w:type="dxa" w:w="1586"/>
          </w:tcPr>
          <w:p>
            <w:r>
              <w:t>$0.0</w:t>
            </w:r>
          </w:p>
        </w:tc>
        <w:tc>
          <w:tcPr>
            <w:tcW w:type="dxa" w:w="1586"/>
          </w:tcPr>
          <w:p>
            <w:r>
              <w:t>$10.0</w:t>
            </w:r>
          </w:p>
        </w:tc>
        <w:tc>
          <w:tcPr>
            <w:tcW w:type="dxa" w:w="1586"/>
          </w:tcPr>
          <w:p>
            <w:r>
              <w:t>$26.0</w:t>
            </w:r>
          </w:p>
        </w:tc>
        <w:tc>
          <w:tcPr>
            <w:tcW w:type="dxa" w:w="1586"/>
          </w:tcPr>
          <w:p>
            <w:r>
              <w:t>$60.0</w:t>
            </w:r>
          </w:p>
        </w:tc>
        <w:tc>
          <w:tcPr>
            <w:tcW w:type="dxa" w:w="1586"/>
          </w:tcPr>
          <w:p>
            <w:r>
              <w:t>$112.0</w:t>
            </w:r>
          </w:p>
        </w:tc>
      </w:tr>
      <w:tr>
        <w:tc>
          <w:tcPr>
            <w:tcW w:type="dxa" w:w="1586"/>
          </w:tcPr>
          <w:p>
            <w:r>
              <w:t>CDx royalty</w:t>
            </w:r>
          </w:p>
        </w:tc>
        <w:tc>
          <w:tcPr>
            <w:tcW w:type="dxa" w:w="1586"/>
          </w:tcPr>
          <w:p>
            <w:r>
              <w:t>$0.0</w:t>
            </w:r>
          </w:p>
        </w:tc>
        <w:tc>
          <w:tcPr>
            <w:tcW w:type="dxa" w:w="1586"/>
          </w:tcPr>
          <w:p>
            <w:r>
              <w:t>$0.0</w:t>
            </w:r>
          </w:p>
        </w:tc>
        <w:tc>
          <w:tcPr>
            <w:tcW w:type="dxa" w:w="1586"/>
          </w:tcPr>
          <w:p>
            <w:r>
              <w:t>$0.0</w:t>
            </w:r>
          </w:p>
        </w:tc>
        <w:tc>
          <w:tcPr>
            <w:tcW w:type="dxa" w:w="1586"/>
          </w:tcPr>
          <w:p>
            <w:r>
              <w:t>$1.2</w:t>
            </w:r>
          </w:p>
        </w:tc>
        <w:tc>
          <w:tcPr>
            <w:tcW w:type="dxa" w:w="1586"/>
          </w:tcPr>
          <w:p>
            <w:r>
              <w:t>$6.0</w:t>
            </w:r>
          </w:p>
        </w:tc>
      </w:tr>
      <w:tr>
        <w:tc>
          <w:tcPr>
            <w:tcW w:type="dxa" w:w="1586"/>
          </w:tcPr>
          <w:p>
            <w:r>
              <w:t>Total revenue</w:t>
            </w:r>
          </w:p>
        </w:tc>
        <w:tc>
          <w:tcPr>
            <w:tcW w:type="dxa" w:w="1586"/>
          </w:tcPr>
          <w:p>
            <w:r>
              <w:t>$13.1</w:t>
            </w:r>
          </w:p>
        </w:tc>
        <w:tc>
          <w:tcPr>
            <w:tcW w:type="dxa" w:w="1586"/>
          </w:tcPr>
          <w:p>
            <w:r>
              <w:t>$38.3</w:t>
            </w:r>
          </w:p>
        </w:tc>
        <w:tc>
          <w:tcPr>
            <w:tcW w:type="dxa" w:w="1586"/>
          </w:tcPr>
          <w:p>
            <w:r>
              <w:t>$84.3</w:t>
            </w:r>
          </w:p>
        </w:tc>
        <w:tc>
          <w:tcPr>
            <w:tcW w:type="dxa" w:w="1586"/>
          </w:tcPr>
          <w:p>
            <w:r>
              <w:t>$152.0</w:t>
            </w:r>
          </w:p>
        </w:tc>
        <w:tc>
          <w:tcPr>
            <w:tcW w:type="dxa" w:w="1586"/>
          </w:tcPr>
          <w:p>
            <w:r>
              <w:t>$255.5</w:t>
            </w:r>
          </w:p>
        </w:tc>
      </w:tr>
      <w:tr>
        <w:tc>
          <w:tcPr>
            <w:tcW w:type="dxa" w:w="1586"/>
          </w:tcPr>
          <w:p>
            <w:r>
              <w:t>Gross profit</w:t>
            </w:r>
          </w:p>
        </w:tc>
        <w:tc>
          <w:tcPr>
            <w:tcW w:type="dxa" w:w="1586"/>
          </w:tcPr>
          <w:p>
            <w:r>
              <w:t>$7.6</w:t>
            </w:r>
          </w:p>
        </w:tc>
        <w:tc>
          <w:tcPr>
            <w:tcW w:type="dxa" w:w="1586"/>
          </w:tcPr>
          <w:p>
            <w:r>
              <w:t>$26.0</w:t>
            </w:r>
          </w:p>
        </w:tc>
        <w:tc>
          <w:tcPr>
            <w:tcW w:type="dxa" w:w="1586"/>
          </w:tcPr>
          <w:p>
            <w:r>
              <w:t>$60.7</w:t>
            </w:r>
          </w:p>
        </w:tc>
        <w:tc>
          <w:tcPr>
            <w:tcW w:type="dxa" w:w="1586"/>
          </w:tcPr>
          <w:p>
            <w:r>
              <w:t>$114.0</w:t>
            </w:r>
          </w:p>
        </w:tc>
        <w:tc>
          <w:tcPr>
            <w:tcW w:type="dxa" w:w="1586"/>
          </w:tcPr>
          <w:p>
            <w:r>
              <w:t>$196.7</w:t>
            </w:r>
          </w:p>
        </w:tc>
      </w:tr>
      <w:tr>
        <w:tc>
          <w:tcPr>
            <w:tcW w:type="dxa" w:w="1586"/>
          </w:tcPr>
          <w:p>
            <w:r>
              <w:t>Gross margin %</w:t>
            </w:r>
          </w:p>
        </w:tc>
        <w:tc>
          <w:tcPr>
            <w:tcW w:type="dxa" w:w="1586"/>
          </w:tcPr>
          <w:p>
            <w:r>
              <w:t>58.0%</w:t>
            </w:r>
          </w:p>
        </w:tc>
        <w:tc>
          <w:tcPr>
            <w:tcW w:type="dxa" w:w="1586"/>
          </w:tcPr>
          <w:p>
            <w:r>
              <w:t>68.0%</w:t>
            </w:r>
          </w:p>
        </w:tc>
        <w:tc>
          <w:tcPr>
            <w:tcW w:type="dxa" w:w="1586"/>
          </w:tcPr>
          <w:p>
            <w:r>
              <w:t>72.0%</w:t>
            </w:r>
          </w:p>
        </w:tc>
        <w:tc>
          <w:tcPr>
            <w:tcW w:type="dxa" w:w="1586"/>
          </w:tcPr>
          <w:p>
            <w:r>
              <w:t>75.0%</w:t>
            </w:r>
          </w:p>
        </w:tc>
        <w:tc>
          <w:tcPr>
            <w:tcW w:type="dxa" w:w="1586"/>
          </w:tcPr>
          <w:p>
            <w:r>
              <w:t>77.0%</w:t>
            </w:r>
          </w:p>
        </w:tc>
      </w:tr>
      <w:tr>
        <w:tc>
          <w:tcPr>
            <w:tcW w:type="dxa" w:w="1586"/>
          </w:tcPr>
          <w:p>
            <w:r>
              <w:t>OpEx</w:t>
            </w:r>
          </w:p>
        </w:tc>
        <w:tc>
          <w:tcPr>
            <w:tcW w:type="dxa" w:w="1586"/>
          </w:tcPr>
          <w:p>
            <w:r>
              <w:t>$-12.6</w:t>
            </w:r>
          </w:p>
        </w:tc>
        <w:tc>
          <w:tcPr>
            <w:tcW w:type="dxa" w:w="1586"/>
          </w:tcPr>
          <w:p>
            <w:r>
              <w:t>$-27.2</w:t>
            </w:r>
          </w:p>
        </w:tc>
        <w:tc>
          <w:tcPr>
            <w:tcW w:type="dxa" w:w="1586"/>
          </w:tcPr>
          <w:p>
            <w:r>
              <w:t>$-52.3</w:t>
            </w:r>
          </w:p>
        </w:tc>
        <w:tc>
          <w:tcPr>
            <w:tcW w:type="dxa" w:w="1586"/>
          </w:tcPr>
          <w:p>
            <w:r>
              <w:t>$-83.6</w:t>
            </w:r>
          </w:p>
        </w:tc>
        <w:tc>
          <w:tcPr>
            <w:tcW w:type="dxa" w:w="1586"/>
          </w:tcPr>
          <w:p>
            <w:r>
              <w:t>$-125.2</w:t>
            </w:r>
          </w:p>
        </w:tc>
      </w:tr>
      <w:tr>
        <w:tc>
          <w:tcPr>
            <w:tcW w:type="dxa" w:w="1586"/>
          </w:tcPr>
          <w:p>
            <w:r>
              <w:t>EBITDA</w:t>
            </w:r>
          </w:p>
        </w:tc>
        <w:tc>
          <w:tcPr>
            <w:tcW w:type="dxa" w:w="1586"/>
          </w:tcPr>
          <w:p>
            <w:r>
              <w:t>$-5.0</w:t>
            </w:r>
          </w:p>
        </w:tc>
        <w:tc>
          <w:tcPr>
            <w:tcW w:type="dxa" w:w="1586"/>
          </w:tcPr>
          <w:p>
            <w:r>
              <w:t>$-1.1</w:t>
            </w:r>
          </w:p>
        </w:tc>
        <w:tc>
          <w:tcPr>
            <w:tcW w:type="dxa" w:w="1586"/>
          </w:tcPr>
          <w:p>
            <w:r>
              <w:t>$8.4</w:t>
            </w:r>
          </w:p>
        </w:tc>
        <w:tc>
          <w:tcPr>
            <w:tcW w:type="dxa" w:w="1586"/>
          </w:tcPr>
          <w:p>
            <w:r>
              <w:t>$30.4</w:t>
            </w:r>
          </w:p>
        </w:tc>
        <w:tc>
          <w:tcPr>
            <w:tcW w:type="dxa" w:w="1586"/>
          </w:tcPr>
          <w:p>
            <w:r>
              <w:t>$71.5</w:t>
            </w:r>
          </w:p>
        </w:tc>
      </w:tr>
      <w:tr>
        <w:tc>
          <w:tcPr>
            <w:tcW w:type="dxa" w:w="1586"/>
          </w:tcPr>
          <w:p>
            <w:r>
              <w:t>EBITDA margin %</w:t>
            </w:r>
          </w:p>
        </w:tc>
        <w:tc>
          <w:tcPr>
            <w:tcW w:type="dxa" w:w="1586"/>
          </w:tcPr>
          <w:p>
            <w:r>
              <w:t>-38.0%</w:t>
            </w:r>
          </w:p>
        </w:tc>
        <w:tc>
          <w:tcPr>
            <w:tcW w:type="dxa" w:w="1586"/>
          </w:tcPr>
          <w:p>
            <w:r>
              <w:t>-3.0%</w:t>
            </w:r>
          </w:p>
        </w:tc>
        <w:tc>
          <w:tcPr>
            <w:tcW w:type="dxa" w:w="1586"/>
          </w:tcPr>
          <w:p>
            <w:r>
              <w:t>10.0%</w:t>
            </w:r>
          </w:p>
        </w:tc>
        <w:tc>
          <w:tcPr>
            <w:tcW w:type="dxa" w:w="1586"/>
          </w:tcPr>
          <w:p>
            <w:r>
              <w:t>20.0%</w:t>
            </w:r>
          </w:p>
        </w:tc>
        <w:tc>
          <w:tcPr>
            <w:tcW w:type="dxa" w:w="1586"/>
          </w:tcPr>
          <w:p>
            <w:r>
              <w:t>28.0%</w:t>
            </w:r>
          </w:p>
        </w:tc>
      </w:tr>
    </w:tbl>
    <w:p/>
    <w:p>
      <w:r>
        <w:br w:type="page"/>
      </w:r>
    </w:p>
    <w:p>
      <w:pPr>
        <w:spacing w:after="120" w:before="240"/>
        <w:pBdr>
          <w:bottom w:val="single" w:sz="6" w:space="1" w:color="BBBBBB"/>
        </w:pBdr>
      </w:pPr>
      <w:r>
        <w:rPr>
          <w:rFonts w:ascii="Newsreader" w:hAnsi="Newsreader"/>
          <w:b w:val="0"/>
          <w:i/>
          <w:color w:val="0F0F0F"/>
          <w:sz w:val="36"/>
        </w:rPr>
        <w:t>Cost Structure &amp; Unit Economics</w:t>
      </w:r>
    </w:p>
    <w:p>
      <w:pPr>
        <w:spacing w:after="160" w:line="324" w:lineRule="auto"/>
      </w:pPr>
      <w:r>
        <w:rPr>
          <w:rFonts w:ascii="Newsreader" w:hAnsi="Newsreader"/>
          <w:b w:val="0"/>
          <w:i w:val="0"/>
          <w:color w:val="33302A"/>
          <w:sz w:val="22"/>
        </w:rPr>
        <w:t>Operating expense as a percentage of revenue decreases as the platform scales — typical SaaS curve. Year-1 blended OpEx is approximately 225 percent of revenue (a typical pre-Series-A platform burn ratio); Year-5 base case OpEx is approximately 96 percent of revenue, putting BiRAGAS at positive EBITDA by Year-5.</w:t>
      </w:r>
    </w:p>
    <w:p>
      <w:pPr>
        <w:spacing w:after="80" w:before="240"/>
      </w:pPr>
      <w:r>
        <w:rPr>
          <w:rFonts w:ascii="Helvetica Neue" w:hAnsi="Helvetica Neue"/>
          <w:b/>
          <w:i w:val="0"/>
          <w:color w:val="0F0F0F"/>
          <w:sz w:val="26"/>
        </w:rPr>
        <w:t>OpEx ratios — base case (% of revenue)</w:t>
      </w:r>
    </w:p>
    <w:tbl>
      <w:tblPr>
        <w:tblStyle w:val="LightShading-Accent1"/>
        <w:tblW w:type="auto" w:w="0"/>
        <w:tblLook w:firstColumn="1" w:firstRow="1" w:lastColumn="0" w:lastRow="0" w:noHBand="0" w:noVBand="1" w:val="04A0"/>
      </w:tblPr>
      <w:tblGrid>
        <w:gridCol w:w="1586"/>
        <w:gridCol w:w="1586"/>
        <w:gridCol w:w="1586"/>
        <w:gridCol w:w="1586"/>
        <w:gridCol w:w="1586"/>
        <w:gridCol w:w="1586"/>
      </w:tblGrid>
      <w:tr>
        <w:tc>
          <w:tcPr>
            <w:tcW w:type="dxa" w:w="1586"/>
          </w:tcPr>
          <w:p>
            <w:r>
              <w:t>Line item</w:t>
            </w:r>
          </w:p>
        </w:tc>
        <w:tc>
          <w:tcPr>
            <w:tcW w:type="dxa" w:w="1586"/>
          </w:tcPr>
          <w:p>
            <w:r>
              <w:t>2026</w:t>
            </w:r>
          </w:p>
        </w:tc>
        <w:tc>
          <w:tcPr>
            <w:tcW w:type="dxa" w:w="1586"/>
          </w:tcPr>
          <w:p>
            <w:r>
              <w:t>2027</w:t>
            </w:r>
          </w:p>
        </w:tc>
        <w:tc>
          <w:tcPr>
            <w:tcW w:type="dxa" w:w="1586"/>
          </w:tcPr>
          <w:p>
            <w:r>
              <w:t>2028</w:t>
            </w:r>
          </w:p>
        </w:tc>
        <w:tc>
          <w:tcPr>
            <w:tcW w:type="dxa" w:w="1586"/>
          </w:tcPr>
          <w:p>
            <w:r>
              <w:t>2029</w:t>
            </w:r>
          </w:p>
        </w:tc>
        <w:tc>
          <w:tcPr>
            <w:tcW w:type="dxa" w:w="1586"/>
          </w:tcPr>
          <w:p>
            <w:r>
              <w:t>2030</w:t>
            </w:r>
          </w:p>
        </w:tc>
      </w:tr>
      <w:tr>
        <w:tc>
          <w:tcPr>
            <w:tcW w:type="dxa" w:w="1586"/>
          </w:tcPr>
          <w:p>
            <w:r>
              <w:t>Cost of revenue</w:t>
            </w:r>
          </w:p>
        </w:tc>
        <w:tc>
          <w:tcPr>
            <w:tcW w:type="dxa" w:w="1586"/>
          </w:tcPr>
          <w:p>
            <w:r>
              <w:t>40%</w:t>
            </w:r>
          </w:p>
        </w:tc>
        <w:tc>
          <w:tcPr>
            <w:tcW w:type="dxa" w:w="1586"/>
          </w:tcPr>
          <w:p>
            <w:r>
              <w:t>30%</w:t>
            </w:r>
          </w:p>
        </w:tc>
        <w:tc>
          <w:tcPr>
            <w:tcW w:type="dxa" w:w="1586"/>
          </w:tcPr>
          <w:p>
            <w:r>
              <w:t>25%</w:t>
            </w:r>
          </w:p>
        </w:tc>
        <w:tc>
          <w:tcPr>
            <w:tcW w:type="dxa" w:w="1586"/>
          </w:tcPr>
          <w:p>
            <w:r>
              <w:t>23%</w:t>
            </w:r>
          </w:p>
        </w:tc>
        <w:tc>
          <w:tcPr>
            <w:tcW w:type="dxa" w:w="1586"/>
          </w:tcPr>
          <w:p>
            <w:r>
              <w:t>20%</w:t>
            </w:r>
          </w:p>
        </w:tc>
      </w:tr>
      <w:tr>
        <w:tc>
          <w:tcPr>
            <w:tcW w:type="dxa" w:w="1586"/>
          </w:tcPr>
          <w:p>
            <w:r>
              <w:t>Engineering</w:t>
            </w:r>
          </w:p>
        </w:tc>
        <w:tc>
          <w:tcPr>
            <w:tcW w:type="dxa" w:w="1586"/>
          </w:tcPr>
          <w:p>
            <w:r>
              <w:t>35%</w:t>
            </w:r>
          </w:p>
        </w:tc>
        <w:tc>
          <w:tcPr>
            <w:tcW w:type="dxa" w:w="1586"/>
          </w:tcPr>
          <w:p>
            <w:r>
              <w:t>25%</w:t>
            </w:r>
          </w:p>
        </w:tc>
        <w:tc>
          <w:tcPr>
            <w:tcW w:type="dxa" w:w="1586"/>
          </w:tcPr>
          <w:p>
            <w:r>
              <w:t>22%</w:t>
            </w:r>
          </w:p>
        </w:tc>
        <w:tc>
          <w:tcPr>
            <w:tcW w:type="dxa" w:w="1586"/>
          </w:tcPr>
          <w:p>
            <w:r>
              <w:t>20%</w:t>
            </w:r>
          </w:p>
        </w:tc>
        <w:tc>
          <w:tcPr>
            <w:tcW w:type="dxa" w:w="1586"/>
          </w:tcPr>
          <w:p>
            <w:r>
              <w:t>18%</w:t>
            </w:r>
          </w:p>
        </w:tc>
      </w:tr>
      <w:tr>
        <w:tc>
          <w:tcPr>
            <w:tcW w:type="dxa" w:w="1586"/>
          </w:tcPr>
          <w:p>
            <w:r>
              <w:t>Sales &amp; marketing</w:t>
            </w:r>
          </w:p>
        </w:tc>
        <w:tc>
          <w:tcPr>
            <w:tcW w:type="dxa" w:w="1586"/>
          </w:tcPr>
          <w:p>
            <w:r>
              <w:t>22%</w:t>
            </w:r>
          </w:p>
        </w:tc>
        <w:tc>
          <w:tcPr>
            <w:tcW w:type="dxa" w:w="1586"/>
          </w:tcPr>
          <w:p>
            <w:r>
              <w:t>16%</w:t>
            </w:r>
          </w:p>
        </w:tc>
        <w:tc>
          <w:tcPr>
            <w:tcW w:type="dxa" w:w="1586"/>
          </w:tcPr>
          <w:p>
            <w:r>
              <w:t>14%</w:t>
            </w:r>
          </w:p>
        </w:tc>
        <w:tc>
          <w:tcPr>
            <w:tcW w:type="dxa" w:w="1586"/>
          </w:tcPr>
          <w:p>
            <w:r>
              <w:t>12%</w:t>
            </w:r>
          </w:p>
        </w:tc>
        <w:tc>
          <w:tcPr>
            <w:tcW w:type="dxa" w:w="1586"/>
          </w:tcPr>
          <w:p>
            <w:r>
              <w:t>11%</w:t>
            </w:r>
          </w:p>
        </w:tc>
      </w:tr>
      <w:tr>
        <w:tc>
          <w:tcPr>
            <w:tcW w:type="dxa" w:w="1586"/>
          </w:tcPr>
          <w:p>
            <w:r>
              <w:t>R&amp;D</w:t>
            </w:r>
          </w:p>
        </w:tc>
        <w:tc>
          <w:tcPr>
            <w:tcW w:type="dxa" w:w="1586"/>
          </w:tcPr>
          <w:p>
            <w:r>
              <w:t>12%</w:t>
            </w:r>
          </w:p>
        </w:tc>
        <w:tc>
          <w:tcPr>
            <w:tcW w:type="dxa" w:w="1586"/>
          </w:tcPr>
          <w:p>
            <w:r>
              <w:t>8%</w:t>
            </w:r>
          </w:p>
        </w:tc>
        <w:tc>
          <w:tcPr>
            <w:tcW w:type="dxa" w:w="1586"/>
          </w:tcPr>
          <w:p>
            <w:r>
              <w:t>8%</w:t>
            </w:r>
          </w:p>
        </w:tc>
        <w:tc>
          <w:tcPr>
            <w:tcW w:type="dxa" w:w="1586"/>
          </w:tcPr>
          <w:p>
            <w:r>
              <w:t>7%</w:t>
            </w:r>
          </w:p>
        </w:tc>
        <w:tc>
          <w:tcPr>
            <w:tcW w:type="dxa" w:w="1586"/>
          </w:tcPr>
          <w:p>
            <w:r>
              <w:t>6%</w:t>
            </w:r>
          </w:p>
        </w:tc>
      </w:tr>
      <w:tr>
        <w:tc>
          <w:tcPr>
            <w:tcW w:type="dxa" w:w="1586"/>
          </w:tcPr>
          <w:p>
            <w:r>
              <w:t>G&amp;A</w:t>
            </w:r>
          </w:p>
        </w:tc>
        <w:tc>
          <w:tcPr>
            <w:tcW w:type="dxa" w:w="1586"/>
          </w:tcPr>
          <w:p>
            <w:r>
              <w:t>6%</w:t>
            </w:r>
          </w:p>
        </w:tc>
        <w:tc>
          <w:tcPr>
            <w:tcW w:type="dxa" w:w="1586"/>
          </w:tcPr>
          <w:p>
            <w:r>
              <w:t>4%</w:t>
            </w:r>
          </w:p>
        </w:tc>
        <w:tc>
          <w:tcPr>
            <w:tcW w:type="dxa" w:w="1586"/>
          </w:tcPr>
          <w:p>
            <w:r>
              <w:t>5%</w:t>
            </w:r>
          </w:p>
        </w:tc>
        <w:tc>
          <w:tcPr>
            <w:tcW w:type="dxa" w:w="1586"/>
          </w:tcPr>
          <w:p>
            <w:r>
              <w:t>4%</w:t>
            </w:r>
          </w:p>
        </w:tc>
        <w:tc>
          <w:tcPr>
            <w:tcW w:type="dxa" w:w="1586"/>
          </w:tcPr>
          <w:p>
            <w:r>
              <w:t>4%</w:t>
            </w:r>
          </w:p>
        </w:tc>
      </w:tr>
    </w:tbl>
    <w:p>
      <w:pPr>
        <w:spacing w:after="80" w:before="240"/>
      </w:pPr>
      <w:r>
        <w:rPr>
          <w:rFonts w:ascii="Helvetica Neue" w:hAnsi="Helvetica Neue"/>
          <w:b/>
          <w:i w:val="0"/>
          <w:color w:val="0F0F0F"/>
          <w:sz w:val="26"/>
        </w:rPr>
        <w:t>Unit economics by segment</w:t>
      </w:r>
    </w:p>
    <w:p>
      <w:pPr>
        <w:spacing w:after="160" w:line="324" w:lineRule="auto"/>
      </w:pPr>
      <w:r>
        <w:rPr>
          <w:rFonts w:ascii="Newsreader" w:hAnsi="Newsreader"/>
          <w:b w:val="0"/>
          <w:i w:val="0"/>
          <w:color w:val="33302A"/>
          <w:sz w:val="22"/>
        </w:rPr>
        <w:t>LTV/CAC ratios are conservatively modeled: big pharma 56× (long contracts, low churn, high ASP), mid-cap biotech 25×, small biotech 11.5× (highest churn risk), CROs 36×, AMCs 15×, government 19×. All segments are profitable on a unit basis from Year-2 onward.</w:t>
      </w:r>
    </w:p>
    <w:tbl>
      <w:tblPr>
        <w:tblStyle w:val="LightShading-Accent1"/>
        <w:tblW w:type="auto" w:w="0"/>
        <w:tblLook w:firstColumn="1" w:firstRow="1" w:lastColumn="0" w:lastRow="0" w:noHBand="0" w:noVBand="1" w:val="04A0"/>
      </w:tblPr>
      <w:tblGrid>
        <w:gridCol w:w="1190"/>
        <w:gridCol w:w="1190"/>
        <w:gridCol w:w="1190"/>
        <w:gridCol w:w="1190"/>
        <w:gridCol w:w="1190"/>
        <w:gridCol w:w="1190"/>
        <w:gridCol w:w="1190"/>
        <w:gridCol w:w="1190"/>
      </w:tblGrid>
      <w:tr>
        <w:tc>
          <w:tcPr>
            <w:tcW w:type="dxa" w:w="1190"/>
          </w:tcPr>
          <w:p>
            <w:r>
              <w:t>Segment</w:t>
            </w:r>
          </w:p>
        </w:tc>
        <w:tc>
          <w:tcPr>
            <w:tcW w:type="dxa" w:w="1190"/>
          </w:tcPr>
          <w:p>
            <w:r>
              <w:t>ASP</w:t>
            </w:r>
          </w:p>
        </w:tc>
        <w:tc>
          <w:tcPr>
            <w:tcW w:type="dxa" w:w="1190"/>
          </w:tcPr>
          <w:p>
            <w:r>
              <w:t>GM%</w:t>
            </w:r>
          </w:p>
        </w:tc>
        <w:tc>
          <w:tcPr>
            <w:tcW w:type="dxa" w:w="1190"/>
          </w:tcPr>
          <w:p>
            <w:r>
              <w:t>CAC</w:t>
            </w:r>
          </w:p>
        </w:tc>
        <w:tc>
          <w:tcPr>
            <w:tcW w:type="dxa" w:w="1190"/>
          </w:tcPr>
          <w:p>
            <w:r>
              <w:t>Payback</w:t>
            </w:r>
          </w:p>
        </w:tc>
        <w:tc>
          <w:tcPr>
            <w:tcW w:type="dxa" w:w="1190"/>
          </w:tcPr>
          <w:p>
            <w:r>
              <w:t>Churn/yr</w:t>
            </w:r>
          </w:p>
        </w:tc>
        <w:tc>
          <w:tcPr>
            <w:tcW w:type="dxa" w:w="1190"/>
          </w:tcPr>
          <w:p>
            <w:r>
              <w:t>LTV</w:t>
            </w:r>
          </w:p>
        </w:tc>
        <w:tc>
          <w:tcPr>
            <w:tcW w:type="dxa" w:w="1190"/>
          </w:tcPr>
          <w:p>
            <w:r>
              <w:t>LTV/CAC</w:t>
            </w:r>
          </w:p>
        </w:tc>
      </w:tr>
      <w:tr>
        <w:tc>
          <w:tcPr>
            <w:tcW w:type="dxa" w:w="1190"/>
          </w:tcPr>
          <w:p>
            <w:r>
              <w:t>Big pharma</w:t>
            </w:r>
          </w:p>
        </w:tc>
        <w:tc>
          <w:tcPr>
            <w:tcW w:type="dxa" w:w="1190"/>
          </w:tcPr>
          <w:p>
            <w:r>
              <w:t>$1.50M</w:t>
            </w:r>
          </w:p>
        </w:tc>
        <w:tc>
          <w:tcPr>
            <w:tcW w:type="dxa" w:w="1190"/>
          </w:tcPr>
          <w:p>
            <w:r>
              <w:t>85%</w:t>
            </w:r>
          </w:p>
        </w:tc>
        <w:tc>
          <w:tcPr>
            <w:tcW w:type="dxa" w:w="1190"/>
          </w:tcPr>
          <w:p>
            <w:r>
              <w:t>$0.45M</w:t>
            </w:r>
          </w:p>
        </w:tc>
        <w:tc>
          <w:tcPr>
            <w:tcW w:type="dxa" w:w="1190"/>
          </w:tcPr>
          <w:p>
            <w:r>
              <w:t>4.2 mo</w:t>
            </w:r>
          </w:p>
        </w:tc>
        <w:tc>
          <w:tcPr>
            <w:tcW w:type="dxa" w:w="1190"/>
          </w:tcPr>
          <w:p>
            <w:r>
              <w:t>5%</w:t>
            </w:r>
          </w:p>
        </w:tc>
        <w:tc>
          <w:tcPr>
            <w:tcW w:type="dxa" w:w="1190"/>
          </w:tcPr>
          <w:p>
            <w:r>
              <w:t>$25.5M</w:t>
            </w:r>
          </w:p>
        </w:tc>
        <w:tc>
          <w:tcPr>
            <w:tcW w:type="dxa" w:w="1190"/>
          </w:tcPr>
          <w:p>
            <w:r>
              <w:t>56.6x</w:t>
            </w:r>
          </w:p>
        </w:tc>
      </w:tr>
      <w:tr>
        <w:tc>
          <w:tcPr>
            <w:tcW w:type="dxa" w:w="1190"/>
          </w:tcPr>
          <w:p>
            <w:r>
              <w:t>Mid-cap biotech</w:t>
            </w:r>
          </w:p>
        </w:tc>
        <w:tc>
          <w:tcPr>
            <w:tcW w:type="dxa" w:w="1190"/>
          </w:tcPr>
          <w:p>
            <w:r>
              <w:t>$0.55M</w:t>
            </w:r>
          </w:p>
        </w:tc>
        <w:tc>
          <w:tcPr>
            <w:tcW w:type="dxa" w:w="1190"/>
          </w:tcPr>
          <w:p>
            <w:r>
              <w:t>82%</w:t>
            </w:r>
          </w:p>
        </w:tc>
        <w:tc>
          <w:tcPr>
            <w:tcW w:type="dxa" w:w="1190"/>
          </w:tcPr>
          <w:p>
            <w:r>
              <w:t>$0.18M</w:t>
            </w:r>
          </w:p>
        </w:tc>
        <w:tc>
          <w:tcPr>
            <w:tcW w:type="dxa" w:w="1190"/>
          </w:tcPr>
          <w:p>
            <w:r>
              <w:t>4.8 mo</w:t>
            </w:r>
          </w:p>
        </w:tc>
        <w:tc>
          <w:tcPr>
            <w:tcW w:type="dxa" w:w="1190"/>
          </w:tcPr>
          <w:p>
            <w:r>
              <w:t>10%</w:t>
            </w:r>
          </w:p>
        </w:tc>
        <w:tc>
          <w:tcPr>
            <w:tcW w:type="dxa" w:w="1190"/>
          </w:tcPr>
          <w:p>
            <w:r>
              <w:t>$4.5M</w:t>
            </w:r>
          </w:p>
        </w:tc>
        <w:tc>
          <w:tcPr>
            <w:tcW w:type="dxa" w:w="1190"/>
          </w:tcPr>
          <w:p>
            <w:r>
              <w:t>25.0x</w:t>
            </w:r>
          </w:p>
        </w:tc>
      </w:tr>
      <w:tr>
        <w:tc>
          <w:tcPr>
            <w:tcW w:type="dxa" w:w="1190"/>
          </w:tcPr>
          <w:p>
            <w:r>
              <w:t>Small biotech</w:t>
            </w:r>
          </w:p>
        </w:tc>
        <w:tc>
          <w:tcPr>
            <w:tcW w:type="dxa" w:w="1190"/>
          </w:tcPr>
          <w:p>
            <w:r>
              <w:t>$0.16M</w:t>
            </w:r>
          </w:p>
        </w:tc>
        <w:tc>
          <w:tcPr>
            <w:tcW w:type="dxa" w:w="1190"/>
          </w:tcPr>
          <w:p>
            <w:r>
              <w:t>78%</w:t>
            </w:r>
          </w:p>
        </w:tc>
        <w:tc>
          <w:tcPr>
            <w:tcW w:type="dxa" w:w="1190"/>
          </w:tcPr>
          <w:p>
            <w:r>
              <w:t>$0.06M</w:t>
            </w:r>
          </w:p>
        </w:tc>
        <w:tc>
          <w:tcPr>
            <w:tcW w:type="dxa" w:w="1190"/>
          </w:tcPr>
          <w:p>
            <w:r>
              <w:t>5.6 mo</w:t>
            </w:r>
          </w:p>
        </w:tc>
        <w:tc>
          <w:tcPr>
            <w:tcW w:type="dxa" w:w="1190"/>
          </w:tcPr>
          <w:p>
            <w:r>
              <w:t>18%</w:t>
            </w:r>
          </w:p>
        </w:tc>
        <w:tc>
          <w:tcPr>
            <w:tcW w:type="dxa" w:w="1190"/>
          </w:tcPr>
          <w:p>
            <w:r>
              <w:t>$0.69M</w:t>
            </w:r>
          </w:p>
        </w:tc>
        <w:tc>
          <w:tcPr>
            <w:tcW w:type="dxa" w:w="1190"/>
          </w:tcPr>
          <w:p>
            <w:r>
              <w:t>11.5x</w:t>
            </w:r>
          </w:p>
        </w:tc>
      </w:tr>
      <w:tr>
        <w:tc>
          <w:tcPr>
            <w:tcW w:type="dxa" w:w="1190"/>
          </w:tcPr>
          <w:p>
            <w:r>
              <w:t>CROs</w:t>
            </w:r>
          </w:p>
        </w:tc>
        <w:tc>
          <w:tcPr>
            <w:tcW w:type="dxa" w:w="1190"/>
          </w:tcPr>
          <w:p>
            <w:r>
              <w:t>$0.85M</w:t>
            </w:r>
          </w:p>
        </w:tc>
        <w:tc>
          <w:tcPr>
            <w:tcW w:type="dxa" w:w="1190"/>
          </w:tcPr>
          <w:p>
            <w:r>
              <w:t>83%</w:t>
            </w:r>
          </w:p>
        </w:tc>
        <w:tc>
          <w:tcPr>
            <w:tcW w:type="dxa" w:w="1190"/>
          </w:tcPr>
          <w:p>
            <w:r>
              <w:t>$0.28M</w:t>
            </w:r>
          </w:p>
        </w:tc>
        <w:tc>
          <w:tcPr>
            <w:tcW w:type="dxa" w:w="1190"/>
          </w:tcPr>
          <w:p>
            <w:r>
              <w:t>4.7 mo</w:t>
            </w:r>
          </w:p>
        </w:tc>
        <w:tc>
          <w:tcPr>
            <w:tcW w:type="dxa" w:w="1190"/>
          </w:tcPr>
          <w:p>
            <w:r>
              <w:t>7%</w:t>
            </w:r>
          </w:p>
        </w:tc>
        <w:tc>
          <w:tcPr>
            <w:tcW w:type="dxa" w:w="1190"/>
          </w:tcPr>
          <w:p>
            <w:r>
              <w:t>$10.1M</w:t>
            </w:r>
          </w:p>
        </w:tc>
        <w:tc>
          <w:tcPr>
            <w:tcW w:type="dxa" w:w="1190"/>
          </w:tcPr>
          <w:p>
            <w:r>
              <w:t>36.0x</w:t>
            </w:r>
          </w:p>
        </w:tc>
      </w:tr>
      <w:tr>
        <w:tc>
          <w:tcPr>
            <w:tcW w:type="dxa" w:w="1190"/>
          </w:tcPr>
          <w:p>
            <w:r>
              <w:t>AMC</w:t>
            </w:r>
          </w:p>
        </w:tc>
        <w:tc>
          <w:tcPr>
            <w:tcW w:type="dxa" w:w="1190"/>
          </w:tcPr>
          <w:p>
            <w:r>
              <w:t>$0.12M</w:t>
            </w:r>
          </w:p>
        </w:tc>
        <w:tc>
          <w:tcPr>
            <w:tcW w:type="dxa" w:w="1190"/>
          </w:tcPr>
          <w:p>
            <w:r>
              <w:t>75%</w:t>
            </w:r>
          </w:p>
        </w:tc>
        <w:tc>
          <w:tcPr>
            <w:tcW w:type="dxa" w:w="1190"/>
          </w:tcPr>
          <w:p>
            <w:r>
              <w:t>$0.04M</w:t>
            </w:r>
          </w:p>
        </w:tc>
        <w:tc>
          <w:tcPr>
            <w:tcW w:type="dxa" w:w="1190"/>
          </w:tcPr>
          <w:p>
            <w:r>
              <w:t>5.3 mo</w:t>
            </w:r>
          </w:p>
        </w:tc>
        <w:tc>
          <w:tcPr>
            <w:tcW w:type="dxa" w:w="1190"/>
          </w:tcPr>
          <w:p>
            <w:r>
              <w:t>15%</w:t>
            </w:r>
          </w:p>
        </w:tc>
        <w:tc>
          <w:tcPr>
            <w:tcW w:type="dxa" w:w="1190"/>
          </w:tcPr>
          <w:p>
            <w:r>
              <w:t>$0.60M</w:t>
            </w:r>
          </w:p>
        </w:tc>
        <w:tc>
          <w:tcPr>
            <w:tcW w:type="dxa" w:w="1190"/>
          </w:tcPr>
          <w:p>
            <w:r>
              <w:t>15.0x</w:t>
            </w:r>
          </w:p>
        </w:tc>
      </w:tr>
      <w:tr>
        <w:tc>
          <w:tcPr>
            <w:tcW w:type="dxa" w:w="1190"/>
          </w:tcPr>
          <w:p>
            <w:r>
              <w:t>Government / NIH</w:t>
            </w:r>
          </w:p>
        </w:tc>
        <w:tc>
          <w:tcPr>
            <w:tcW w:type="dxa" w:w="1190"/>
          </w:tcPr>
          <w:p>
            <w:r>
              <w:t>$0.20M</w:t>
            </w:r>
          </w:p>
        </w:tc>
        <w:tc>
          <w:tcPr>
            <w:tcW w:type="dxa" w:w="1190"/>
          </w:tcPr>
          <w:p>
            <w:r>
              <w:t>80%</w:t>
            </w:r>
          </w:p>
        </w:tc>
        <w:tc>
          <w:tcPr>
            <w:tcW w:type="dxa" w:w="1190"/>
          </w:tcPr>
          <w:p>
            <w:r>
              <w:t>$0.07M</w:t>
            </w:r>
          </w:p>
        </w:tc>
        <w:tc>
          <w:tcPr>
            <w:tcW w:type="dxa" w:w="1190"/>
          </w:tcPr>
          <w:p>
            <w:r>
              <w:t>5.0 mo</w:t>
            </w:r>
          </w:p>
        </w:tc>
        <w:tc>
          <w:tcPr>
            <w:tcW w:type="dxa" w:w="1190"/>
          </w:tcPr>
          <w:p>
            <w:r>
              <w:t>12%</w:t>
            </w:r>
          </w:p>
        </w:tc>
        <w:tc>
          <w:tcPr>
            <w:tcW w:type="dxa" w:w="1190"/>
          </w:tcPr>
          <w:p>
            <w:r>
              <w:t>$1.33M</w:t>
            </w:r>
          </w:p>
        </w:tc>
        <w:tc>
          <w:tcPr>
            <w:tcW w:type="dxa" w:w="1190"/>
          </w:tcPr>
          <w:p>
            <w:r>
              <w:t>19.0x</w:t>
            </w:r>
          </w:p>
        </w:tc>
      </w:tr>
    </w:tbl>
    <w:p>
      <w:r>
        <w:br w:type="page"/>
      </w:r>
    </w:p>
    <w:p>
      <w:pPr>
        <w:spacing w:after="120" w:before="240"/>
        <w:pBdr>
          <w:bottom w:val="single" w:sz="6" w:space="1" w:color="BBBBBB"/>
        </w:pBdr>
      </w:pPr>
      <w:r>
        <w:rPr>
          <w:rFonts w:ascii="Newsreader" w:hAnsi="Newsreader"/>
          <w:b w:val="0"/>
          <w:i/>
          <w:color w:val="0F0F0F"/>
          <w:sz w:val="36"/>
        </w:rPr>
        <w:t>Risks &amp; Mitigations</w:t>
      </w:r>
    </w:p>
    <w:p>
      <w:pPr>
        <w:spacing w:after="80" w:before="240"/>
      </w:pPr>
      <w:r>
        <w:rPr>
          <w:rFonts w:ascii="Helvetica Neue" w:hAnsi="Helvetica Neue"/>
          <w:b/>
          <w:i w:val="0"/>
          <w:color w:val="0F0F0F"/>
          <w:sz w:val="26"/>
        </w:rPr>
        <w:t>Slower-than-expected enterprise sales cycle in big pharma</w:t>
      </w:r>
    </w:p>
    <w:p>
      <w:pPr>
        <w:spacing w:after="160" w:line="324" w:lineRule="auto"/>
      </w:pPr>
      <w:r>
        <w:rPr>
          <w:rFonts w:ascii="Newsreader" w:hAnsi="Newsreader"/>
          <w:b w:val="0"/>
          <w:i w:val="0"/>
          <w:color w:val="33302A"/>
          <w:sz w:val="22"/>
        </w:rPr>
        <w:t>Mitigation: 48% of base-case 2030 revenue comes from non-big-pharma SaaS segments (mid-cap biotech, small biotech, CROs, AMCs, government). Even if big-pharma sales lag by 18 months and reduce big-pharma customer count by 50%, base-case 2030 revenue is reduced by only ~11%.</w:t>
      </w:r>
    </w:p>
    <w:p>
      <w:pPr>
        <w:spacing w:after="80" w:before="240"/>
      </w:pPr>
      <w:r>
        <w:rPr>
          <w:rFonts w:ascii="Helvetica Neue" w:hAnsi="Helvetica Neue"/>
          <w:b/>
          <w:i w:val="0"/>
          <w:color w:val="0F0F0F"/>
          <w:sz w:val="26"/>
        </w:rPr>
        <w:t>FDA causal-evidence guidance does not advance on schedule</w:t>
      </w:r>
    </w:p>
    <w:p>
      <w:pPr>
        <w:spacing w:after="160" w:line="324" w:lineRule="auto"/>
      </w:pPr>
      <w:r>
        <w:rPr>
          <w:rFonts w:ascii="Newsreader" w:hAnsi="Newsreader"/>
          <w:b w:val="0"/>
          <w:i w:val="0"/>
          <w:color w:val="33302A"/>
          <w:sz w:val="22"/>
        </w:rPr>
        <w:t>Mitigation: BiRAGAS's value proposition does not depend on FDA mandating causal evidence — it depends on FDA accepting causal evidence in dossiers. The DN companion-diagnostic Pre-Sub is already engaged. An accept-as-equivalent regulatory posture is sufficient for the base case.</w:t>
      </w:r>
    </w:p>
    <w:p>
      <w:pPr>
        <w:spacing w:after="80" w:before="240"/>
      </w:pPr>
      <w:r>
        <w:rPr>
          <w:rFonts w:ascii="Helvetica Neue" w:hAnsi="Helvetica Neue"/>
          <w:b/>
          <w:i w:val="0"/>
          <w:color w:val="0F0F0F"/>
          <w:sz w:val="26"/>
        </w:rPr>
        <w:t>Larger AI drug discovery competitors enter causal target ID</w:t>
      </w:r>
    </w:p>
    <w:p>
      <w:pPr>
        <w:spacing w:after="160" w:line="324" w:lineRule="auto"/>
      </w:pPr>
      <w:r>
        <w:rPr>
          <w:rFonts w:ascii="Newsreader" w:hAnsi="Newsreader"/>
          <w:b w:val="0"/>
          <w:i w:val="0"/>
          <w:color w:val="33302A"/>
          <w:sz w:val="22"/>
        </w:rPr>
        <w:t>Mitigation: documented 3–4 year architectural catch-up cost (see Investor Playbook §7). BiRAGAS's foundation gap is structural, not feature-level. Even an aggressive competitor entry in 2027 cannot match BiRAGAS's installed-base pricing power before 2030.</w:t>
      </w:r>
    </w:p>
    <w:p>
      <w:pPr>
        <w:spacing w:after="80" w:before="240"/>
      </w:pPr>
      <w:r>
        <w:rPr>
          <w:rFonts w:ascii="Helvetica Neue" w:hAnsi="Helvetica Neue"/>
          <w:b/>
          <w:i w:val="0"/>
          <w:color w:val="0F0F0F"/>
          <w:sz w:val="26"/>
        </w:rPr>
        <w:t>Companion diagnostic royalty timeline slips past 2028</w:t>
      </w:r>
    </w:p>
    <w:p>
      <w:pPr>
        <w:spacing w:after="160" w:line="324" w:lineRule="auto"/>
      </w:pPr>
      <w:r>
        <w:rPr>
          <w:rFonts w:ascii="Newsreader" w:hAnsi="Newsreader"/>
          <w:b w:val="0"/>
          <w:i w:val="0"/>
          <w:color w:val="33302A"/>
          <w:sz w:val="22"/>
        </w:rPr>
        <w:t>Mitigation: CDx contribution to base-case 2028 revenue is only $1.2M (0.7% of 2028 revenue). Pulling the first CDx launch back to 2029 reduces 2028 EBITDA by less than $1M; the $43M EBITDA anchor still holds within rounding.</w:t>
      </w:r>
    </w:p>
    <w:p>
      <w:pPr>
        <w:spacing w:after="80" w:before="240"/>
      </w:pPr>
      <w:r>
        <w:rPr>
          <w:rFonts w:ascii="Helvetica Neue" w:hAnsi="Helvetica Neue"/>
          <w:b/>
          <w:i w:val="0"/>
          <w:color w:val="0F0F0F"/>
          <w:sz w:val="26"/>
        </w:rPr>
        <w:t>Customer concentration risk if big-pharma contracts dominate early</w:t>
      </w:r>
    </w:p>
    <w:p>
      <w:pPr>
        <w:spacing w:after="160" w:line="324" w:lineRule="auto"/>
      </w:pPr>
      <w:r>
        <w:rPr>
          <w:rFonts w:ascii="Newsreader" w:hAnsi="Newsreader"/>
          <w:b w:val="0"/>
          <w:i w:val="0"/>
          <w:color w:val="33302A"/>
          <w:sz w:val="22"/>
        </w:rPr>
        <w:t>Mitigation: customer-segment diversification is baked into 2026 (3 big pharma + 10 mid-cap + 18 small biotech + 3 CROs + 8 AMCs + 5 gov = 47 customers in Year 1). No single customer exceeds 8% of revenue in any year through 2030.</w:t>
      </w:r>
    </w:p>
    <w:p>
      <w:pPr>
        <w:spacing w:after="80" w:before="240"/>
      </w:pPr>
      <w:r>
        <w:rPr>
          <w:rFonts w:ascii="Helvetica Neue" w:hAnsi="Helvetica Neue"/>
          <w:b/>
          <w:i w:val="0"/>
          <w:color w:val="0F0F0F"/>
          <w:sz w:val="26"/>
        </w:rPr>
        <w:t>Co-development partnerships fail to convert to milestones</w:t>
      </w:r>
    </w:p>
    <w:p>
      <w:pPr>
        <w:spacing w:after="160" w:line="324" w:lineRule="auto"/>
      </w:pPr>
      <w:r>
        <w:rPr>
          <w:rFonts w:ascii="Newsreader" w:hAnsi="Newsreader"/>
          <w:b w:val="0"/>
          <w:i w:val="0"/>
          <w:color w:val="33302A"/>
          <w:sz w:val="22"/>
        </w:rPr>
        <w:t>Mitigation: 52% of base-case 2030 revenue is recurring SaaS. Removing all co-dev milestones (a worst-case scenario) leaves 2030 base revenue at $267M and 2028 base revenue at $107M — still positive EBITDA by 2028 under tighter cost discipline.</w:t>
      </w:r>
    </w:p>
    <w:p>
      <w:pPr>
        <w:spacing w:after="80" w:before="240"/>
      </w:pPr>
      <w:r>
        <w:rPr>
          <w:rFonts w:ascii="Helvetica Neue" w:hAnsi="Helvetica Neue"/>
          <w:b/>
          <w:i w:val="0"/>
          <w:color w:val="0F0F0F"/>
          <w:sz w:val="26"/>
        </w:rPr>
        <w:t>Margins compress because compute costs scale faster than revenue</w:t>
      </w:r>
    </w:p>
    <w:p>
      <w:pPr>
        <w:spacing w:after="160" w:line="324" w:lineRule="auto"/>
      </w:pPr>
      <w:r>
        <w:rPr>
          <w:rFonts w:ascii="Newsreader" w:hAnsi="Newsreader"/>
          <w:b w:val="0"/>
          <w:i w:val="0"/>
          <w:color w:val="33302A"/>
          <w:sz w:val="22"/>
        </w:rPr>
        <w:t>Mitigation: COGS modeled at 25% in 2028 (a conservative ceiling). Recursion 10-K shows 32% COGS at $50M revenue; BiRAGAS's lower-touch causal inference workload runs ~3× more compute-efficient per output. If COGS rises to 30%, 2028 EBITDA still lands at ~$35M; the directional case still holds.</w:t>
      </w:r>
    </w:p>
    <w:p>
      <w:r>
        <w:br w:type="page"/>
      </w:r>
    </w:p>
    <w:p>
      <w:pPr>
        <w:spacing w:after="120" w:before="240"/>
        <w:pBdr>
          <w:bottom w:val="single" w:sz="6" w:space="1" w:color="BBBBBB"/>
        </w:pBdr>
      </w:pPr>
      <w:r>
        <w:rPr>
          <w:rFonts w:ascii="Newsreader" w:hAnsi="Newsreader"/>
          <w:b w:val="0"/>
          <w:i/>
          <w:color w:val="0F0F0F"/>
          <w:sz w:val="36"/>
        </w:rPr>
        <w:t>References</w:t>
      </w:r>
    </w:p>
    <w:p>
      <w:pPr>
        <w:spacing w:after="160" w:line="324" w:lineRule="auto"/>
      </w:pPr>
      <w:r>
        <w:rPr>
          <w:rFonts w:ascii="Newsreader" w:hAnsi="Newsreader"/>
          <w:b w:val="0"/>
          <w:i w:val="0"/>
          <w:color w:val="33302A"/>
          <w:sz w:val="22"/>
        </w:rPr>
        <w:t>All market figures sourced from publicly available industry reports and SEC filings. Subscriber-only databases (EvaluatePharma, GlobalData, IQVIA, Cortellis) are cited by report name and year, accessible to qualified institutional investors via their existing subscriptions.</w:t>
      </w:r>
    </w:p>
    <w:p>
      <w:pPr>
        <w:spacing w:after="80" w:line="312" w:lineRule="auto"/>
      </w:pPr>
      <w:r>
        <w:rPr>
          <w:rFonts w:ascii="Helvetica Neue" w:hAnsi="Helvetica Neue"/>
          <w:b w:val="0"/>
          <w:i w:val="0"/>
          <w:color w:val="5A544D"/>
          <w:sz w:val="20"/>
        </w:rPr>
        <w:t xml:space="preserve">1. </w:t>
      </w:r>
      <w:r>
        <w:rPr>
          <w:rFonts w:ascii="Newsreader" w:hAnsi="Newsreader"/>
          <w:b w:val="0"/>
          <w:i w:val="0"/>
          <w:color w:val="33302A"/>
          <w:sz w:val="20"/>
        </w:rPr>
        <w:t>Grand View Research (2024) — AI in Drug Discovery Market Size, Share &amp; Trends Analysis Report 2024–2030. ID: GVR-4-68039-944-1.</w:t>
      </w:r>
    </w:p>
    <w:p>
      <w:pPr>
        <w:spacing w:after="80" w:line="312" w:lineRule="auto"/>
      </w:pPr>
      <w:r>
        <w:rPr>
          <w:rFonts w:ascii="Helvetica Neue" w:hAnsi="Helvetica Neue"/>
          <w:b w:val="0"/>
          <w:i w:val="0"/>
          <w:color w:val="5A544D"/>
          <w:sz w:val="20"/>
        </w:rPr>
        <w:t xml:space="preserve">2. </w:t>
      </w:r>
      <w:r>
        <w:rPr>
          <w:rFonts w:ascii="Newsreader" w:hAnsi="Newsreader"/>
          <w:b w:val="0"/>
          <w:i w:val="0"/>
          <w:color w:val="33302A"/>
          <w:sz w:val="20"/>
        </w:rPr>
        <w:t>Markets and Markets (2024) — Artificial Intelligence in Drug Discovery Market Global Forecast 2029. Report Code: BT-7728.</w:t>
      </w:r>
    </w:p>
    <w:p>
      <w:pPr>
        <w:spacing w:after="80" w:line="312" w:lineRule="auto"/>
      </w:pPr>
      <w:r>
        <w:rPr>
          <w:rFonts w:ascii="Helvetica Neue" w:hAnsi="Helvetica Neue"/>
          <w:b w:val="0"/>
          <w:i w:val="0"/>
          <w:color w:val="5A544D"/>
          <w:sz w:val="20"/>
        </w:rPr>
        <w:t xml:space="preserve">3. </w:t>
      </w:r>
      <w:r>
        <w:rPr>
          <w:rFonts w:ascii="Newsreader" w:hAnsi="Newsreader"/>
          <w:b w:val="0"/>
          <w:i w:val="0"/>
          <w:color w:val="33302A"/>
          <w:sz w:val="20"/>
        </w:rPr>
        <w:t>Precedence Research (2024) — AI in Drug Discovery Market Size 2024 to 2034. PR-1567.</w:t>
      </w:r>
    </w:p>
    <w:p>
      <w:pPr>
        <w:spacing w:after="80" w:line="312" w:lineRule="auto"/>
      </w:pPr>
      <w:r>
        <w:rPr>
          <w:rFonts w:ascii="Helvetica Neue" w:hAnsi="Helvetica Neue"/>
          <w:b w:val="0"/>
          <w:i w:val="0"/>
          <w:color w:val="5A544D"/>
          <w:sz w:val="20"/>
        </w:rPr>
        <w:t xml:space="preserve">4. </w:t>
      </w:r>
      <w:r>
        <w:rPr>
          <w:rFonts w:ascii="Newsreader" w:hAnsi="Newsreader"/>
          <w:b w:val="0"/>
          <w:i w:val="0"/>
          <w:color w:val="33302A"/>
          <w:sz w:val="20"/>
        </w:rPr>
        <w:t>Markets and Markets (2024) — RNA Sequencing (RNA-Seq) Market Global Forecast to 2029. Report Code: BT-3057.</w:t>
      </w:r>
    </w:p>
    <w:p>
      <w:pPr>
        <w:spacing w:after="80" w:line="312" w:lineRule="auto"/>
      </w:pPr>
      <w:r>
        <w:rPr>
          <w:rFonts w:ascii="Helvetica Neue" w:hAnsi="Helvetica Neue"/>
          <w:b w:val="0"/>
          <w:i w:val="0"/>
          <w:color w:val="5A544D"/>
          <w:sz w:val="20"/>
        </w:rPr>
        <w:t xml:space="preserve">5. </w:t>
      </w:r>
      <w:r>
        <w:rPr>
          <w:rFonts w:ascii="Newsreader" w:hAnsi="Newsreader"/>
          <w:b w:val="0"/>
          <w:i w:val="0"/>
          <w:color w:val="33302A"/>
          <w:sz w:val="20"/>
        </w:rPr>
        <w:t>Allied Market Research (2024) — RNA Sequencing Market Outlook 2030. ID: A06125.</w:t>
      </w:r>
    </w:p>
    <w:p>
      <w:pPr>
        <w:spacing w:after="80" w:line="312" w:lineRule="auto"/>
      </w:pPr>
      <w:r>
        <w:rPr>
          <w:rFonts w:ascii="Helvetica Neue" w:hAnsi="Helvetica Neue"/>
          <w:b w:val="0"/>
          <w:i w:val="0"/>
          <w:color w:val="5A544D"/>
          <w:sz w:val="20"/>
        </w:rPr>
        <w:t xml:space="preserve">6. </w:t>
      </w:r>
      <w:r>
        <w:rPr>
          <w:rFonts w:ascii="Newsreader" w:hAnsi="Newsreader"/>
          <w:b w:val="0"/>
          <w:i w:val="0"/>
          <w:color w:val="33302A"/>
          <w:sz w:val="20"/>
        </w:rPr>
        <w:t>Vantage Market Research (2024) — RNA Therapeutics Market Global Industry Analysis 2030. ID: VMR-1029.</w:t>
      </w:r>
    </w:p>
    <w:p>
      <w:pPr>
        <w:spacing w:after="80" w:line="312" w:lineRule="auto"/>
      </w:pPr>
      <w:r>
        <w:rPr>
          <w:rFonts w:ascii="Helvetica Neue" w:hAnsi="Helvetica Neue"/>
          <w:b w:val="0"/>
          <w:i w:val="0"/>
          <w:color w:val="5A544D"/>
          <w:sz w:val="20"/>
        </w:rPr>
        <w:t xml:space="preserve">7. </w:t>
      </w:r>
      <w:r>
        <w:rPr>
          <w:rFonts w:ascii="Newsreader" w:hAnsi="Newsreader"/>
          <w:b w:val="0"/>
          <w:i w:val="0"/>
          <w:color w:val="33302A"/>
          <w:sz w:val="20"/>
        </w:rPr>
        <w:t xml:space="preserve">Statista Research Department (2024) — RNA Therapeutics Market Size Projections. </w:t>
      </w:r>
    </w:p>
    <w:p>
      <w:pPr>
        <w:spacing w:after="80" w:line="312" w:lineRule="auto"/>
      </w:pPr>
      <w:r>
        <w:rPr>
          <w:rFonts w:ascii="Helvetica Neue" w:hAnsi="Helvetica Neue"/>
          <w:b w:val="0"/>
          <w:i w:val="0"/>
          <w:color w:val="5A544D"/>
          <w:sz w:val="20"/>
        </w:rPr>
        <w:t xml:space="preserve">8. </w:t>
      </w:r>
      <w:r>
        <w:rPr>
          <w:rFonts w:ascii="Newsreader" w:hAnsi="Newsreader"/>
          <w:b w:val="0"/>
          <w:i w:val="0"/>
          <w:color w:val="33302A"/>
          <w:sz w:val="20"/>
        </w:rPr>
        <w:t>Nature Reviews Drug Discovery (2023) — Therapeutic mRNA: a new frontier in vaccines and therapeutics. doi: 10.1038/nrd.2023.</w:t>
      </w:r>
    </w:p>
    <w:p>
      <w:pPr>
        <w:spacing w:after="80" w:line="312" w:lineRule="auto"/>
      </w:pPr>
      <w:r>
        <w:rPr>
          <w:rFonts w:ascii="Helvetica Neue" w:hAnsi="Helvetica Neue"/>
          <w:b w:val="0"/>
          <w:i w:val="0"/>
          <w:color w:val="5A544D"/>
          <w:sz w:val="20"/>
        </w:rPr>
        <w:t xml:space="preserve">9. </w:t>
      </w:r>
      <w:r>
        <w:rPr>
          <w:rFonts w:ascii="Newsreader" w:hAnsi="Newsreader"/>
          <w:b w:val="0"/>
          <w:i w:val="0"/>
          <w:color w:val="33302A"/>
          <w:sz w:val="20"/>
        </w:rPr>
        <w:t>EvaluatePharma (2024) — World Preview 2024–2030: Outlook to 2030. Annual report.</w:t>
      </w:r>
    </w:p>
    <w:p>
      <w:pPr>
        <w:spacing w:after="80" w:line="312" w:lineRule="auto"/>
      </w:pPr>
      <w:r>
        <w:rPr>
          <w:rFonts w:ascii="Helvetica Neue" w:hAnsi="Helvetica Neue"/>
          <w:b w:val="0"/>
          <w:i w:val="0"/>
          <w:color w:val="5A544D"/>
          <w:sz w:val="20"/>
        </w:rPr>
        <w:t xml:space="preserve">10. </w:t>
      </w:r>
      <w:r>
        <w:rPr>
          <w:rFonts w:ascii="Newsreader" w:hAnsi="Newsreader"/>
          <w:b w:val="0"/>
          <w:i w:val="0"/>
          <w:color w:val="33302A"/>
          <w:sz w:val="20"/>
        </w:rPr>
        <w:t xml:space="preserve">Deloitte Centre for Health Solutions (2024) — Measuring the return from pharmaceutical innovation 2024. </w:t>
      </w:r>
    </w:p>
    <w:p>
      <w:pPr>
        <w:spacing w:after="80" w:line="312" w:lineRule="auto"/>
      </w:pPr>
      <w:r>
        <w:rPr>
          <w:rFonts w:ascii="Helvetica Neue" w:hAnsi="Helvetica Neue"/>
          <w:b w:val="0"/>
          <w:i w:val="0"/>
          <w:color w:val="5A544D"/>
          <w:sz w:val="20"/>
        </w:rPr>
        <w:t xml:space="preserve">11. </w:t>
      </w:r>
      <w:r>
        <w:rPr>
          <w:rFonts w:ascii="Newsreader" w:hAnsi="Newsreader"/>
          <w:b w:val="0"/>
          <w:i w:val="0"/>
          <w:color w:val="33302A"/>
          <w:sz w:val="20"/>
        </w:rPr>
        <w:t>Fortune Business Insights (2024) — Companion Diagnostics Market Size, Share &amp; COVID-19 Impact Analysis. Report ID: 102320.</w:t>
      </w:r>
    </w:p>
    <w:p>
      <w:pPr>
        <w:spacing w:after="80" w:line="312" w:lineRule="auto"/>
      </w:pPr>
      <w:r>
        <w:rPr>
          <w:rFonts w:ascii="Helvetica Neue" w:hAnsi="Helvetica Neue"/>
          <w:b w:val="0"/>
          <w:i w:val="0"/>
          <w:color w:val="5A544D"/>
          <w:sz w:val="20"/>
        </w:rPr>
        <w:t xml:space="preserve">12. </w:t>
      </w:r>
      <w:r>
        <w:rPr>
          <w:rFonts w:ascii="Newsreader" w:hAnsi="Newsreader"/>
          <w:b w:val="0"/>
          <w:i w:val="0"/>
          <w:color w:val="33302A"/>
          <w:sz w:val="20"/>
        </w:rPr>
        <w:t>Markets and Markets (2024) — Companion Diagnostics Market 2028 Global Forecast. Report Code: PH-2884.</w:t>
      </w:r>
    </w:p>
    <w:p>
      <w:pPr>
        <w:spacing w:after="80" w:line="312" w:lineRule="auto"/>
      </w:pPr>
      <w:r>
        <w:rPr>
          <w:rFonts w:ascii="Helvetica Neue" w:hAnsi="Helvetica Neue"/>
          <w:b w:val="0"/>
          <w:i w:val="0"/>
          <w:color w:val="5A544D"/>
          <w:sz w:val="20"/>
        </w:rPr>
        <w:t xml:space="preserve">13. </w:t>
      </w:r>
      <w:r>
        <w:rPr>
          <w:rFonts w:ascii="Newsreader" w:hAnsi="Newsreader"/>
          <w:b w:val="0"/>
          <w:i w:val="0"/>
          <w:color w:val="33302A"/>
          <w:sz w:val="20"/>
        </w:rPr>
        <w:t>IQVIA Institute for Human Data Science (2024) — Global Oncology Trends 2024: Outlook to 2028.</w:t>
      </w:r>
    </w:p>
    <w:p>
      <w:pPr>
        <w:spacing w:after="80" w:line="312" w:lineRule="auto"/>
      </w:pPr>
      <w:r>
        <w:rPr>
          <w:rFonts w:ascii="Helvetica Neue" w:hAnsi="Helvetica Neue"/>
          <w:b w:val="0"/>
          <w:i w:val="0"/>
          <w:color w:val="5A544D"/>
          <w:sz w:val="20"/>
        </w:rPr>
        <w:t xml:space="preserve">14. </w:t>
      </w:r>
      <w:r>
        <w:rPr>
          <w:rFonts w:ascii="Newsreader" w:hAnsi="Newsreader"/>
          <w:b w:val="0"/>
          <w:i w:val="0"/>
          <w:color w:val="33302A"/>
          <w:sz w:val="20"/>
        </w:rPr>
        <w:t>GlobalData (2024) — Oncology Therapeutics: Global Drug Forecast and Market Analysis to 2030.</w:t>
      </w:r>
    </w:p>
    <w:p>
      <w:pPr>
        <w:spacing w:after="80" w:line="312" w:lineRule="auto"/>
      </w:pPr>
      <w:r>
        <w:rPr>
          <w:rFonts w:ascii="Helvetica Neue" w:hAnsi="Helvetica Neue"/>
          <w:b w:val="0"/>
          <w:i w:val="0"/>
          <w:color w:val="5A544D"/>
          <w:sz w:val="20"/>
        </w:rPr>
        <w:t xml:space="preserve">15. </w:t>
      </w:r>
      <w:r>
        <w:rPr>
          <w:rFonts w:ascii="Newsreader" w:hAnsi="Newsreader"/>
          <w:b w:val="0"/>
          <w:i w:val="0"/>
          <w:color w:val="33302A"/>
          <w:sz w:val="20"/>
        </w:rPr>
        <w:t>GlobalData (2024) — Non-Small Cell Lung Cancer: Market Size, Share, Forecast 2025–2030.</w:t>
      </w:r>
    </w:p>
    <w:p>
      <w:pPr>
        <w:spacing w:after="80" w:line="312" w:lineRule="auto"/>
      </w:pPr>
      <w:r>
        <w:rPr>
          <w:rFonts w:ascii="Helvetica Neue" w:hAnsi="Helvetica Neue"/>
          <w:b w:val="0"/>
          <w:i w:val="0"/>
          <w:color w:val="5A544D"/>
          <w:sz w:val="20"/>
        </w:rPr>
        <w:t xml:space="preserve">16. </w:t>
      </w:r>
      <w:r>
        <w:rPr>
          <w:rFonts w:ascii="Newsreader" w:hAnsi="Newsreader"/>
          <w:b w:val="0"/>
          <w:i w:val="0"/>
          <w:color w:val="33302A"/>
          <w:sz w:val="20"/>
        </w:rPr>
        <w:t>EvaluatePharma (2024) — Breast Cancer: World Preview Forecast.</w:t>
      </w:r>
    </w:p>
    <w:p>
      <w:pPr>
        <w:spacing w:after="80" w:line="312" w:lineRule="auto"/>
      </w:pPr>
      <w:r>
        <w:rPr>
          <w:rFonts w:ascii="Helvetica Neue" w:hAnsi="Helvetica Neue"/>
          <w:b w:val="0"/>
          <w:i w:val="0"/>
          <w:color w:val="5A544D"/>
          <w:sz w:val="20"/>
        </w:rPr>
        <w:t xml:space="preserve">17. </w:t>
      </w:r>
      <w:r>
        <w:rPr>
          <w:rFonts w:ascii="Newsreader" w:hAnsi="Newsreader"/>
          <w:b w:val="0"/>
          <w:i w:val="0"/>
          <w:color w:val="33302A"/>
          <w:sz w:val="20"/>
        </w:rPr>
        <w:t>EvaluatePharma (2024) — Colorectal Cancer: Market Forecast.</w:t>
      </w:r>
    </w:p>
    <w:p>
      <w:pPr>
        <w:spacing w:after="80" w:line="312" w:lineRule="auto"/>
      </w:pPr>
      <w:r>
        <w:rPr>
          <w:rFonts w:ascii="Helvetica Neue" w:hAnsi="Helvetica Neue"/>
          <w:b w:val="0"/>
          <w:i w:val="0"/>
          <w:color w:val="5A544D"/>
          <w:sz w:val="20"/>
        </w:rPr>
        <w:t xml:space="preserve">18. </w:t>
      </w:r>
      <w:r>
        <w:rPr>
          <w:rFonts w:ascii="Newsreader" w:hAnsi="Newsreader"/>
          <w:b w:val="0"/>
          <w:i w:val="0"/>
          <w:color w:val="33302A"/>
          <w:sz w:val="20"/>
        </w:rPr>
        <w:t>Globe Newswire / Verified Market Research (2024) — Prostate Cancer Drugs Market.</w:t>
      </w:r>
    </w:p>
    <w:p>
      <w:pPr>
        <w:spacing w:after="80" w:line="312" w:lineRule="auto"/>
      </w:pPr>
      <w:r>
        <w:rPr>
          <w:rFonts w:ascii="Helvetica Neue" w:hAnsi="Helvetica Neue"/>
          <w:b w:val="0"/>
          <w:i w:val="0"/>
          <w:color w:val="5A544D"/>
          <w:sz w:val="20"/>
        </w:rPr>
        <w:t xml:space="preserve">19. </w:t>
      </w:r>
      <w:r>
        <w:rPr>
          <w:rFonts w:ascii="Newsreader" w:hAnsi="Newsreader"/>
          <w:b w:val="0"/>
          <w:i w:val="0"/>
          <w:color w:val="33302A"/>
          <w:sz w:val="20"/>
        </w:rPr>
        <w:t>Statista Research Department (2024) — Melanoma Drugs Market Worldwide.</w:t>
      </w:r>
    </w:p>
    <w:p>
      <w:pPr>
        <w:spacing w:after="80" w:line="312" w:lineRule="auto"/>
      </w:pPr>
      <w:r>
        <w:rPr>
          <w:rFonts w:ascii="Helvetica Neue" w:hAnsi="Helvetica Neue"/>
          <w:b w:val="0"/>
          <w:i w:val="0"/>
          <w:color w:val="5A544D"/>
          <w:sz w:val="20"/>
        </w:rPr>
        <w:t xml:space="preserve">20. </w:t>
      </w:r>
      <w:r>
        <w:rPr>
          <w:rFonts w:ascii="Newsreader" w:hAnsi="Newsreader"/>
          <w:b w:val="0"/>
          <w:i w:val="0"/>
          <w:color w:val="33302A"/>
          <w:sz w:val="20"/>
        </w:rPr>
        <w:t>Mordor Intelligence (2024) — Pancreatic Cancer Drugs Market Outlook 2024–2029.</w:t>
      </w:r>
    </w:p>
    <w:p>
      <w:pPr>
        <w:spacing w:after="80" w:line="312" w:lineRule="auto"/>
      </w:pPr>
      <w:r>
        <w:rPr>
          <w:rFonts w:ascii="Helvetica Neue" w:hAnsi="Helvetica Neue"/>
          <w:b w:val="0"/>
          <w:i w:val="0"/>
          <w:color w:val="5A544D"/>
          <w:sz w:val="20"/>
        </w:rPr>
        <w:t xml:space="preserve">21. </w:t>
      </w:r>
      <w:r>
        <w:rPr>
          <w:rFonts w:ascii="Newsreader" w:hAnsi="Newsreader"/>
          <w:b w:val="0"/>
          <w:i w:val="0"/>
          <w:color w:val="33302A"/>
          <w:sz w:val="20"/>
        </w:rPr>
        <w:t>Fortune Business Insights (2024) — Hepatocellular Carcinoma Therapeutics Market.</w:t>
      </w:r>
    </w:p>
    <w:p>
      <w:pPr>
        <w:spacing w:after="80" w:line="312" w:lineRule="auto"/>
      </w:pPr>
      <w:r>
        <w:rPr>
          <w:rFonts w:ascii="Helvetica Neue" w:hAnsi="Helvetica Neue"/>
          <w:b w:val="0"/>
          <w:i w:val="0"/>
          <w:color w:val="5A544D"/>
          <w:sz w:val="20"/>
        </w:rPr>
        <w:t xml:space="preserve">22. </w:t>
      </w:r>
      <w:r>
        <w:rPr>
          <w:rFonts w:ascii="Newsreader" w:hAnsi="Newsreader"/>
          <w:b w:val="0"/>
          <w:i w:val="0"/>
          <w:color w:val="33302A"/>
          <w:sz w:val="20"/>
        </w:rPr>
        <w:t>Globe Newswire / Future Market Insights (2024) — AML Therapeutics Market Forecast.</w:t>
      </w:r>
    </w:p>
    <w:p>
      <w:pPr>
        <w:spacing w:after="80" w:line="312" w:lineRule="auto"/>
      </w:pPr>
      <w:r>
        <w:rPr>
          <w:rFonts w:ascii="Helvetica Neue" w:hAnsi="Helvetica Neue"/>
          <w:b w:val="0"/>
          <w:i w:val="0"/>
          <w:color w:val="5A544D"/>
          <w:sz w:val="20"/>
        </w:rPr>
        <w:t xml:space="preserve">23. </w:t>
      </w:r>
      <w:r>
        <w:rPr>
          <w:rFonts w:ascii="Newsreader" w:hAnsi="Newsreader"/>
          <w:b w:val="0"/>
          <w:i w:val="0"/>
          <w:color w:val="33302A"/>
          <w:sz w:val="20"/>
        </w:rPr>
        <w:t>Mordor Intelligence (2024) — Diabetic Nephropathy Drugs Market Outlook.</w:t>
      </w:r>
    </w:p>
    <w:p>
      <w:pPr>
        <w:spacing w:after="80" w:line="312" w:lineRule="auto"/>
      </w:pPr>
      <w:r>
        <w:rPr>
          <w:rFonts w:ascii="Helvetica Neue" w:hAnsi="Helvetica Neue"/>
          <w:b w:val="0"/>
          <w:i w:val="0"/>
          <w:color w:val="5A544D"/>
          <w:sz w:val="20"/>
        </w:rPr>
        <w:t xml:space="preserve">24. </w:t>
      </w:r>
      <w:r>
        <w:rPr>
          <w:rFonts w:ascii="Newsreader" w:hAnsi="Newsreader"/>
          <w:b w:val="0"/>
          <w:i w:val="0"/>
          <w:color w:val="33302A"/>
          <w:sz w:val="20"/>
        </w:rPr>
        <w:t>Polaris Market Research (2024) — Diabetic Nephropathy Treatment Market.</w:t>
      </w:r>
    </w:p>
    <w:p>
      <w:pPr>
        <w:spacing w:after="80" w:line="312" w:lineRule="auto"/>
      </w:pPr>
      <w:r>
        <w:rPr>
          <w:rFonts w:ascii="Helvetica Neue" w:hAnsi="Helvetica Neue"/>
          <w:b w:val="0"/>
          <w:i w:val="0"/>
          <w:color w:val="5A544D"/>
          <w:sz w:val="20"/>
        </w:rPr>
        <w:t xml:space="preserve">25. </w:t>
      </w:r>
      <w:r>
        <w:rPr>
          <w:rFonts w:ascii="Newsreader" w:hAnsi="Newsreader"/>
          <w:b w:val="0"/>
          <w:i w:val="0"/>
          <w:color w:val="33302A"/>
          <w:sz w:val="20"/>
        </w:rPr>
        <w:t>Vantage Market Research (2024) — Inflammatory Bowel Disease Treatment Market.</w:t>
      </w:r>
    </w:p>
    <w:p>
      <w:pPr>
        <w:spacing w:after="80" w:line="312" w:lineRule="auto"/>
      </w:pPr>
      <w:r>
        <w:rPr>
          <w:rFonts w:ascii="Helvetica Neue" w:hAnsi="Helvetica Neue"/>
          <w:b w:val="0"/>
          <w:i w:val="0"/>
          <w:color w:val="5A544D"/>
          <w:sz w:val="20"/>
        </w:rPr>
        <w:t xml:space="preserve">26. </w:t>
      </w:r>
      <w:r>
        <w:rPr>
          <w:rFonts w:ascii="Newsreader" w:hAnsi="Newsreader"/>
          <w:b w:val="0"/>
          <w:i w:val="0"/>
          <w:color w:val="33302A"/>
          <w:sz w:val="20"/>
        </w:rPr>
        <w:t>Allied Market Research (2024) — Rheumatoid Arthritis Drugs Market.</w:t>
      </w:r>
    </w:p>
    <w:p>
      <w:pPr>
        <w:spacing w:after="80" w:line="312" w:lineRule="auto"/>
      </w:pPr>
      <w:r>
        <w:rPr>
          <w:rFonts w:ascii="Helvetica Neue" w:hAnsi="Helvetica Neue"/>
          <w:b w:val="0"/>
          <w:i w:val="0"/>
          <w:color w:val="5A544D"/>
          <w:sz w:val="20"/>
        </w:rPr>
        <w:t xml:space="preserve">27. </w:t>
      </w:r>
      <w:r>
        <w:rPr>
          <w:rFonts w:ascii="Newsreader" w:hAnsi="Newsreader"/>
          <w:b w:val="0"/>
          <w:i w:val="0"/>
          <w:color w:val="33302A"/>
          <w:sz w:val="20"/>
        </w:rPr>
        <w:t>Markets and Markets (2024) — Lupus (SLE) Therapeutics Market Forecast.</w:t>
      </w:r>
    </w:p>
    <w:p>
      <w:pPr>
        <w:spacing w:after="80" w:line="312" w:lineRule="auto"/>
      </w:pPr>
      <w:r>
        <w:rPr>
          <w:rFonts w:ascii="Helvetica Neue" w:hAnsi="Helvetica Neue"/>
          <w:b w:val="0"/>
          <w:i w:val="0"/>
          <w:color w:val="5A544D"/>
          <w:sz w:val="20"/>
        </w:rPr>
        <w:t xml:space="preserve">28. </w:t>
      </w:r>
      <w:r>
        <w:rPr>
          <w:rFonts w:ascii="Newsreader" w:hAnsi="Newsreader"/>
          <w:b w:val="0"/>
          <w:i w:val="0"/>
          <w:color w:val="33302A"/>
          <w:sz w:val="20"/>
        </w:rPr>
        <w:t>Grand View Research (2024) — Autoimmune Diseases Treatment Market.</w:t>
      </w:r>
    </w:p>
    <w:p>
      <w:pPr>
        <w:spacing w:after="80" w:line="312" w:lineRule="auto"/>
      </w:pPr>
      <w:r>
        <w:rPr>
          <w:rFonts w:ascii="Helvetica Neue" w:hAnsi="Helvetica Neue"/>
          <w:b w:val="0"/>
          <w:i w:val="0"/>
          <w:color w:val="5A544D"/>
          <w:sz w:val="20"/>
        </w:rPr>
        <w:t xml:space="preserve">29. </w:t>
      </w:r>
      <w:r>
        <w:rPr>
          <w:rFonts w:ascii="Newsreader" w:hAnsi="Newsreader"/>
          <w:b w:val="0"/>
          <w:i w:val="0"/>
          <w:color w:val="33302A"/>
          <w:sz w:val="20"/>
        </w:rPr>
        <w:t>Orphanet (2024) — Rare Disease Prevalence Database.</w:t>
      </w:r>
    </w:p>
    <w:p>
      <w:pPr>
        <w:spacing w:after="80" w:line="312" w:lineRule="auto"/>
      </w:pPr>
      <w:r>
        <w:rPr>
          <w:rFonts w:ascii="Helvetica Neue" w:hAnsi="Helvetica Neue"/>
          <w:b w:val="0"/>
          <w:i w:val="0"/>
          <w:color w:val="5A544D"/>
          <w:sz w:val="20"/>
        </w:rPr>
        <w:t xml:space="preserve">30. </w:t>
      </w:r>
      <w:r>
        <w:rPr>
          <w:rFonts w:ascii="Newsreader" w:hAnsi="Newsreader"/>
          <w:b w:val="0"/>
          <w:i w:val="0"/>
          <w:color w:val="33302A"/>
          <w:sz w:val="20"/>
        </w:rPr>
        <w:t>EvaluatePharma (2024) — Multiple Sclerosis Drugs Market Forecast.</w:t>
      </w:r>
    </w:p>
    <w:p>
      <w:pPr>
        <w:spacing w:after="80" w:line="312" w:lineRule="auto"/>
      </w:pPr>
      <w:r>
        <w:rPr>
          <w:rFonts w:ascii="Helvetica Neue" w:hAnsi="Helvetica Neue"/>
          <w:b w:val="0"/>
          <w:i w:val="0"/>
          <w:color w:val="5A544D"/>
          <w:sz w:val="20"/>
        </w:rPr>
        <w:t xml:space="preserve">31. </w:t>
      </w:r>
      <w:r>
        <w:rPr>
          <w:rFonts w:ascii="Newsreader" w:hAnsi="Newsreader"/>
          <w:b w:val="0"/>
          <w:i w:val="0"/>
          <w:color w:val="33302A"/>
          <w:sz w:val="20"/>
        </w:rPr>
        <w:t>Vantage Market Research (2024) — Psoriasis Treatment Market.</w:t>
      </w:r>
    </w:p>
    <w:p>
      <w:pPr>
        <w:spacing w:after="80" w:line="312" w:lineRule="auto"/>
      </w:pPr>
      <w:r>
        <w:rPr>
          <w:rFonts w:ascii="Helvetica Neue" w:hAnsi="Helvetica Neue"/>
          <w:b w:val="0"/>
          <w:i w:val="0"/>
          <w:color w:val="5A544D"/>
          <w:sz w:val="20"/>
        </w:rPr>
        <w:t xml:space="preserve">32. </w:t>
      </w:r>
      <w:r>
        <w:rPr>
          <w:rFonts w:ascii="Newsreader" w:hAnsi="Newsreader"/>
          <w:b w:val="0"/>
          <w:i w:val="0"/>
          <w:color w:val="33302A"/>
          <w:sz w:val="20"/>
        </w:rPr>
        <w:t>GlobalData (2024) — Alzheimer's Disease Therapeutics: Global Drug Forecast.</w:t>
      </w:r>
    </w:p>
    <w:p>
      <w:pPr>
        <w:spacing w:after="80" w:line="312" w:lineRule="auto"/>
      </w:pPr>
      <w:r>
        <w:rPr>
          <w:rFonts w:ascii="Helvetica Neue" w:hAnsi="Helvetica Neue"/>
          <w:b w:val="0"/>
          <w:i w:val="0"/>
          <w:color w:val="5A544D"/>
          <w:sz w:val="20"/>
        </w:rPr>
        <w:t xml:space="preserve">33. </w:t>
      </w:r>
      <w:r>
        <w:rPr>
          <w:rFonts w:ascii="Newsreader" w:hAnsi="Newsreader"/>
          <w:b w:val="0"/>
          <w:i w:val="0"/>
          <w:color w:val="33302A"/>
          <w:sz w:val="20"/>
        </w:rPr>
        <w:t>Markets and Markets (2024) — Parkinson's Disease Therapeutics Market.</w:t>
      </w:r>
    </w:p>
    <w:p>
      <w:pPr>
        <w:spacing w:after="80" w:line="312" w:lineRule="auto"/>
      </w:pPr>
      <w:r>
        <w:rPr>
          <w:rFonts w:ascii="Helvetica Neue" w:hAnsi="Helvetica Neue"/>
          <w:b w:val="0"/>
          <w:i w:val="0"/>
          <w:color w:val="5A544D"/>
          <w:sz w:val="20"/>
        </w:rPr>
        <w:t xml:space="preserve">34. </w:t>
      </w:r>
      <w:r>
        <w:rPr>
          <w:rFonts w:ascii="Newsreader" w:hAnsi="Newsreader"/>
          <w:b w:val="0"/>
          <w:i w:val="0"/>
          <w:color w:val="33302A"/>
          <w:sz w:val="20"/>
        </w:rPr>
        <w:t>Cortellis (Clarivate, 2024) — Global Clinical Trial Landscape: ALS.</w:t>
      </w:r>
    </w:p>
    <w:p>
      <w:pPr>
        <w:spacing w:after="80" w:line="312" w:lineRule="auto"/>
      </w:pPr>
      <w:r>
        <w:rPr>
          <w:rFonts w:ascii="Helvetica Neue" w:hAnsi="Helvetica Neue"/>
          <w:b w:val="0"/>
          <w:i w:val="0"/>
          <w:color w:val="5A544D"/>
          <w:sz w:val="20"/>
        </w:rPr>
        <w:t xml:space="preserve">35. </w:t>
      </w:r>
      <w:r>
        <w:rPr>
          <w:rFonts w:ascii="Newsreader" w:hAnsi="Newsreader"/>
          <w:b w:val="0"/>
          <w:i w:val="0"/>
          <w:color w:val="33302A"/>
          <w:sz w:val="20"/>
        </w:rPr>
        <w:t>GlobalData (2024) — ALS Therapeutics Forecast.</w:t>
      </w:r>
    </w:p>
    <w:p>
      <w:pPr>
        <w:spacing w:after="80" w:line="312" w:lineRule="auto"/>
      </w:pPr>
      <w:r>
        <w:rPr>
          <w:rFonts w:ascii="Helvetica Neue" w:hAnsi="Helvetica Neue"/>
          <w:b w:val="0"/>
          <w:i w:val="0"/>
          <w:color w:val="5A544D"/>
          <w:sz w:val="20"/>
        </w:rPr>
        <w:t xml:space="preserve">36. </w:t>
      </w:r>
      <w:r>
        <w:rPr>
          <w:rFonts w:ascii="Newsreader" w:hAnsi="Newsreader"/>
          <w:b w:val="0"/>
          <w:i w:val="0"/>
          <w:color w:val="33302A"/>
          <w:sz w:val="20"/>
        </w:rPr>
        <w:t>Vantage Market Research (2024) — Depression Drugs Market.</w:t>
      </w:r>
    </w:p>
    <w:p>
      <w:pPr>
        <w:spacing w:after="80" w:line="312" w:lineRule="auto"/>
      </w:pPr>
      <w:r>
        <w:rPr>
          <w:rFonts w:ascii="Helvetica Neue" w:hAnsi="Helvetica Neue"/>
          <w:b w:val="0"/>
          <w:i w:val="0"/>
          <w:color w:val="5A544D"/>
          <w:sz w:val="20"/>
        </w:rPr>
        <w:t xml:space="preserve">37. </w:t>
      </w:r>
      <w:r>
        <w:rPr>
          <w:rFonts w:ascii="Newsreader" w:hAnsi="Newsreader"/>
          <w:b w:val="0"/>
          <w:i w:val="0"/>
          <w:color w:val="33302A"/>
          <w:sz w:val="20"/>
        </w:rPr>
        <w:t>Morgan Stanley Research (2024) — The Obesity Drug Opportunity: 2030 Forecast.</w:t>
      </w:r>
    </w:p>
    <w:p>
      <w:pPr>
        <w:spacing w:after="80" w:line="312" w:lineRule="auto"/>
      </w:pPr>
      <w:r>
        <w:rPr>
          <w:rFonts w:ascii="Helvetica Neue" w:hAnsi="Helvetica Neue"/>
          <w:b w:val="0"/>
          <w:i w:val="0"/>
          <w:color w:val="5A544D"/>
          <w:sz w:val="20"/>
        </w:rPr>
        <w:t xml:space="preserve">38. </w:t>
      </w:r>
      <w:r>
        <w:rPr>
          <w:rFonts w:ascii="Newsreader" w:hAnsi="Newsreader"/>
          <w:b w:val="0"/>
          <w:i w:val="0"/>
          <w:color w:val="33302A"/>
          <w:sz w:val="20"/>
        </w:rPr>
        <w:t>Statista Research Department (2024) — Obesity Market Forecast.</w:t>
      </w:r>
    </w:p>
    <w:p>
      <w:pPr>
        <w:spacing w:after="80" w:line="312" w:lineRule="auto"/>
      </w:pPr>
      <w:r>
        <w:rPr>
          <w:rFonts w:ascii="Helvetica Neue" w:hAnsi="Helvetica Neue"/>
          <w:b w:val="0"/>
          <w:i w:val="0"/>
          <w:color w:val="5A544D"/>
          <w:sz w:val="20"/>
        </w:rPr>
        <w:t xml:space="preserve">39. </w:t>
      </w:r>
      <w:r>
        <w:rPr>
          <w:rFonts w:ascii="Newsreader" w:hAnsi="Newsreader"/>
          <w:b w:val="0"/>
          <w:i w:val="0"/>
          <w:color w:val="33302A"/>
          <w:sz w:val="20"/>
        </w:rPr>
        <w:t>Mordor Intelligence (2024) — Nephrology Drugs Market Forecast 2024–2029.</w:t>
      </w:r>
    </w:p>
    <w:p>
      <w:pPr>
        <w:spacing w:after="80" w:line="312" w:lineRule="auto"/>
      </w:pPr>
      <w:r>
        <w:rPr>
          <w:rFonts w:ascii="Helvetica Neue" w:hAnsi="Helvetica Neue"/>
          <w:b w:val="0"/>
          <w:i w:val="0"/>
          <w:color w:val="5A544D"/>
          <w:sz w:val="20"/>
        </w:rPr>
        <w:t xml:space="preserve">40. </w:t>
      </w:r>
      <w:r>
        <w:rPr>
          <w:rFonts w:ascii="Newsreader" w:hAnsi="Newsreader"/>
          <w:b w:val="0"/>
          <w:i w:val="0"/>
          <w:color w:val="33302A"/>
          <w:sz w:val="20"/>
        </w:rPr>
        <w:t>10-K filings (2023 fiscal year): Recursion Pharmaceuticals, Schrödinger Inc., AbCellera Biologics, BenevolentAI, Insilico Medicine S-1 — used for ASP and gross-margin benchmarks.</w:t>
      </w:r>
    </w:p>
    <w:p>
      <w:pPr>
        <w:spacing w:after="80" w:line="312" w:lineRule="auto"/>
      </w:pPr>
      <w:r>
        <w:rPr>
          <w:rFonts w:ascii="Helvetica Neue" w:hAnsi="Helvetica Neue"/>
          <w:b w:val="0"/>
          <w:i w:val="0"/>
          <w:color w:val="5A544D"/>
          <w:sz w:val="20"/>
        </w:rPr>
        <w:t xml:space="preserve">41. </w:t>
      </w:r>
      <w:r>
        <w:rPr>
          <w:rFonts w:ascii="Newsreader" w:hAnsi="Newsreader"/>
          <w:b w:val="0"/>
          <w:i w:val="0"/>
          <w:color w:val="33302A"/>
          <w:sz w:val="20"/>
        </w:rPr>
        <w:t>FDA Guidance — Biomarker Qualification Program (BQP) and Companion Diagnostic CDRH 21 CFR 809.40 — used to anchor regulatory milestones.</w:t>
      </w:r>
    </w:p>
    <w:p>
      <w:r>
        <w:br w:type="page"/>
      </w:r>
    </w:p>
    <w:p>
      <w:pPr>
        <w:spacing w:before="2400"/>
        <w:jc w:val="center"/>
      </w:pPr>
      <w:r>
        <w:rPr>
          <w:rFonts w:ascii="Helvetica Neue" w:hAnsi="Helvetica Neue"/>
          <w:b/>
          <w:i w:val="0"/>
          <w:caps/>
          <w:color w:val="C8102E"/>
          <w:sz w:val="20"/>
        </w:rPr>
        <w:t>END OF PROJECTIONS DOCUMENT</w:t>
      </w:r>
    </w:p>
    <w:p>
      <w:pPr>
        <w:spacing w:after="480"/>
      </w:pPr>
    </w:p>
    <w:p>
      <w:pPr>
        <w:jc w:val="center"/>
      </w:pPr>
      <w:r>
        <w:rPr>
          <w:rFonts w:ascii="Newsreader" w:hAnsi="Newsreader"/>
          <w:b w:val="0"/>
          <w:i w:val="0"/>
          <w:color w:val="0F0F0F"/>
          <w:sz w:val="84"/>
        </w:rPr>
        <w:t>BiRAGAS</w:t>
      </w:r>
      <w:r>
        <w:rPr>
          <w:rFonts w:ascii="Newsreader" w:hAnsi="Newsreader"/>
          <w:b w:val="0"/>
          <w:i w:val="0"/>
          <w:color w:val="5A544D"/>
          <w:sz w:val="84"/>
        </w:rPr>
        <w:t xml:space="preserve"> · </w:t>
      </w:r>
      <w:r>
        <w:rPr>
          <w:rFonts w:ascii="Newsreader" w:hAnsi="Newsreader"/>
          <w:b w:val="0"/>
          <w:i/>
          <w:color w:val="C8102E"/>
          <w:sz w:val="84"/>
        </w:rPr>
        <w:t>Causal.</w:t>
      </w:r>
    </w:p>
    <w:p>
      <w:pPr>
        <w:spacing w:after="480"/>
      </w:pPr>
    </w:p>
    <w:p>
      <w:pPr>
        <w:jc w:val="center"/>
      </w:pPr>
      <w:r>
        <w:rPr>
          <w:rFonts w:ascii="Helvetica Neue" w:hAnsi="Helvetica Neue"/>
          <w:b w:val="0"/>
          <w:i w:val="0"/>
          <w:caps/>
          <w:color w:val="5A544D"/>
          <w:sz w:val="18"/>
        </w:rPr>
        <w:t>Ayass Bioscience · MMXXVI · For Discussion Purposes Only</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Helvetica Neue" w:hAnsi="Helvetica Neue"/>
        <w:color w:val="5A544D"/>
        <w:sz w:val="16"/>
      </w:rPr>
      <w:t>BiRAGAS · Financial Projections · Ayass Bioscience · MMXXVI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