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3864"/>
          <w:sz w:val="38"/>
          <w:szCs w:val="38"/>
        </w:rPr>
        <w:t xml:space="preserve">MONOREPO LAYOUT PROPOSAL</w:t>
      </w:r>
    </w:p>
    <w:p>
      <w:pPr>
        <w:spacing w:after="200" w:before="200"/>
        <w:jc w:val="center"/>
      </w:pPr>
      <w:r>
        <w:rPr>
          <w:b/>
          <w:bCs/>
          <w:color w:val="2E5395"/>
          <w:sz w:val="32"/>
          <w:szCs w:val="32"/>
        </w:rPr>
        <w:t xml:space="preserve">MAYA_X_2.0 — Premium Talent Platform</w:t>
      </w:r>
    </w:p>
    <w:p>
      <w:pPr>
        <w:spacing w:after="100"/>
        <w:jc w:val="center"/>
      </w:pPr>
      <w:r>
        <w:rPr>
          <w:i/>
          <w:iCs/>
          <w:color w:val="555555"/>
          <w:sz w:val="22"/>
          <w:szCs w:val="22"/>
        </w:rPr>
        <w:t xml:space="preserve">Repository structure, tooling, CI/CD, and environment management — no business logic included</w:t>
      </w:r>
    </w:p>
    <w:p>
      <w:pPr>
        <w:spacing w:before="800"/>
        <w:jc w:val="center"/>
      </w:pPr>
      <w:r>
        <w:rPr>
          <w:sz w:val="21"/>
          <w:szCs w:val="21"/>
        </w:rPr>
        <w:t xml:space="preserve">Document Version: 1.0 (Draft)</w:t>
      </w:r>
    </w:p>
    <w:p>
      <w:pPr>
        <w:spacing w:after="40"/>
        <w:jc w:val="center"/>
      </w:pPr>
      <w:r>
        <w:rPr>
          <w:sz w:val="21"/>
          <w:szCs w:val="21"/>
        </w:rPr>
        <w:t xml:space="preserve">Date: 20 July 2026</w:t>
      </w:r>
    </w:p>
    <w:p>
      <w:pPr>
        <w:spacing w:after="40"/>
        <w:jc w:val="center"/>
      </w:pPr>
      <w:r>
        <w:rPr>
          <w:sz w:val="21"/>
          <w:szCs w:val="21"/>
        </w:rPr>
        <w:t xml:space="preserve">Prepared by: Lead Software Architect</w:t>
      </w:r>
    </w:p>
    <w:p>
      <w:pPr>
        <w:spacing w:before="800"/>
        <w:jc w:val="center"/>
      </w:pPr>
      <w:r>
        <w:rPr>
          <w:i/>
          <w:iCs/>
          <w:color w:val="B00020"/>
          <w:sz w:val="18"/>
          <w:szCs w:val="18"/>
        </w:rPr>
        <w:t xml:space="preserve">Notice: This proposes directory structure, config file names/purposes, and pipeline stages only — no application or business logic is included, per instruction. Tooling choices not dictated by the client's fixed stack (pnpm, Turborepo, Jest/Playwright, ESLint/Prettier) are architect recommendations, flagged as such.</w:t>
      </w:r>
    </w:p>
    <w:p>
      <w:r>
        <w:br w:type="page"/>
      </w:r>
    </w:p>
    <w:p>
      <w:pPr>
        <w:pStyle w:val="Heading2"/>
        <w:spacing w:after="120" w:before="240"/>
      </w:pPr>
      <w:r>
        <w:rPr>
          <w:b/>
          <w:bCs/>
          <w:color w:val="2E5395"/>
          <w:sz w:val="24"/>
          <w:szCs w:val="2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1F3864"/>
          <w:sz w:val="30"/>
          <w:szCs w:val="30"/>
        </w:rPr>
        <w:t xml:space="preserve">1. Monorepo Tooling</w:t>
      </w:r>
    </w:p>
    <w:p>
      <w:pPr>
        <w:pBdr>
          <w:left w:val="single" w:color="1E6B3D" w:sz="12" w:space="8"/>
        </w:pBdr>
        <w:spacing w:after="160" w:before="60"/>
        <w:ind w:left="360"/>
      </w:pPr>
      <w:r>
        <w:rPr>
          <w:b/>
          <w:bCs/>
          <w:i/>
          <w:iCs/>
          <w:color w:val="1E6B3D"/>
          <w:sz w:val="20"/>
          <w:szCs w:val="20"/>
        </w:rPr>
        <w:t xml:space="preserve">DESIGN DECISION: </w:t>
      </w:r>
      <w:r>
        <w:rPr>
          <w:i/>
          <w:iCs/>
          <w:color w:val="555555"/>
          <w:sz w:val="20"/>
          <w:szCs w:val="20"/>
        </w:rPr>
        <w:t xml:space="preserve">pnpm workspaces + Turborepo is recommended: pnpm's strict, content-addressed node_modules suits a mixed Next.js/NestJS monorepo well (fast installs, no phantom dependencies), and Turborepo's task graph/caching keeps CI fast as the number of packages grows. Neither is dictated by the client's brief — Nx would be an equally valid alternative; pnpm+Turborepo is chosen here for its lighter configuration surface.</w:t>
      </w:r>
    </w:p>
    <w:tbl>
      <w:tblPr>
        <w:tblW w:type="dxa" w:w="9200"/>
        <w:tblBorders>
          <w:top w:val="single" w:color="AAAAAA" w:sz="4"/>
          <w:left w:val="single" w:color="AAAAAA" w:sz="4"/>
          <w:bottom w:val="single" w:color="AAAAAA" w:sz="4"/>
          <w:right w:val="single" w:color="AAAAAA" w:sz="4"/>
          <w:insideH w:val="single" w:color="CCCCCC" w:sz="4"/>
          <w:insideV w:val="single" w:color="CCCCCC" w:sz="4"/>
        </w:tblBorders>
      </w:tblPr>
      <w:tblGrid>
        <w:gridCol w:w="2200"/>
        <w:gridCol w:w="2400"/>
        <w:gridCol w:w="460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19"/>
                <w:szCs w:val="19"/>
              </w:rPr>
              <w:t xml:space="preserve">Concern</w:t>
            </w:r>
          </w:p>
        </w:tc>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Tool</w:t>
            </w:r>
          </w:p>
        </w:tc>
        <w:tc>
          <w:tcPr>
            <w:tcW w:type="dxa" w:w="4600"/>
            <w:shd w:fill="1F3864" w:val="clear"/>
            <w:tcMar>
              <w:top w:type="dxa" w:w="80"/>
              <w:left w:type="dxa" w:w="100"/>
              <w:bottom w:type="dxa" w:w="80"/>
              <w:right w:type="dxa" w:w="100"/>
            </w:tcMar>
            <w:vAlign w:val="center"/>
          </w:tcPr>
          <w:p>
            <w:pPr>
              <w:jc w:val="left"/>
            </w:pPr>
            <w:r>
              <w:rPr>
                <w:b/>
                <w:bCs/>
                <w:color w:val="FFFFFF"/>
                <w:sz w:val="19"/>
                <w:szCs w:val="19"/>
              </w:rPr>
              <w:t xml:space="preserve">Rationale</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Package manager / workspaces</w:t>
            </w:r>
          </w:p>
        </w:tc>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pnpm</w:t>
            </w:r>
          </w:p>
        </w:tc>
        <w:tc>
          <w:tcPr>
            <w:tcW w:type="dxa" w:w="4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Fast, disk-efficient, strict dependency resolution (catches accidental cross-package imports)</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Task orchestration &amp; caching</w:t>
            </w:r>
          </w:p>
        </w:tc>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Turborepo</w:t>
            </w:r>
          </w:p>
        </w:tc>
        <w:tc>
          <w:tcPr>
            <w:tcW w:type="dxa" w:w="4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Runs lint/test/build across affected packages only, with remote caching for CI speed</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Language</w:t>
            </w:r>
          </w:p>
        </w:tc>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TypeScript everywhere</w:t>
            </w:r>
          </w:p>
        </w:tc>
        <w:tc>
          <w:tcPr>
            <w:tcW w:type="dxa" w:w="4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Matches the client's confirmed stack (frontend TS, NestJS TS); a shared tsconfig base enforces consistency</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Linting</w:t>
            </w:r>
          </w:p>
        </w:tc>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ESLint (shared config)</w:t>
            </w:r>
          </w:p>
        </w:tc>
        <w:tc>
          <w:tcPr>
            <w:tcW w:type="dxa" w:w="4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Single source of truth in packages/config, extended per app</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Formatting</w:t>
            </w:r>
          </w:p>
        </w:tc>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Prettier (shared config)</w:t>
            </w:r>
          </w:p>
        </w:tc>
        <w:tc>
          <w:tcPr>
            <w:tcW w:type="dxa" w:w="4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Runs as a pre-commit hook and a CI check, not just editor integration</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Unit/integration testing</w:t>
            </w:r>
          </w:p>
        </w:tc>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Jest (backend), Vitest or Jest (frontend)</w:t>
            </w:r>
          </w:p>
        </w:tc>
        <w:tc>
          <w:tcPr>
            <w:tcW w:type="dxa" w:w="4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NestJS's default test tooling is Jest; either Jest or Vitest is fine for Next.js — Vitest recommended for speed</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End-to-end testing</w:t>
            </w:r>
          </w:p>
        </w:tc>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Playwright</w:t>
            </w:r>
          </w:p>
        </w:tc>
        <w:tc>
          <w:tcPr>
            <w:tcW w:type="dxa" w:w="4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Already present in this environment's toolchain; covers the booking/membership/admin flows end-to-end across browsers</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API contract testing</w:t>
            </w:r>
          </w:p>
        </w:tc>
        <w:tc>
          <w:tcPr>
            <w:tcW w:type="dxa" w:w="2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Supertest (within Jest)</w:t>
            </w:r>
          </w:p>
        </w:tc>
        <w:tc>
          <w:tcPr>
            <w:tcW w:type="dxa" w:w="4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Exercises the NestJS REST API per the endpoint specification without a browser</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Containerization</w:t>
            </w:r>
          </w:p>
        </w:tc>
        <w:tc>
          <w:tcPr>
            <w:tcW w:type="dxa" w:w="2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Docker + Docker Compose (local), per-app Dockerfiles</w:t>
            </w:r>
          </w:p>
        </w:tc>
        <w:tc>
          <w:tcPr>
            <w:tcW w:type="dxa" w:w="4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Matches the client's confirmed "Deployment: Docker" requirement</w:t>
            </w:r>
          </w:p>
        </w:tc>
      </w:tr>
    </w:tbl>
    <w:p>
      <w:r>
        <w:br w:type="page"/>
      </w:r>
    </w:p>
    <w:p>
      <w:pPr>
        <w:pStyle w:val="Heading1"/>
        <w:spacing w:after="160" w:before="360"/>
      </w:pPr>
      <w:r>
        <w:rPr>
          <w:b/>
          <w:bCs/>
          <w:color w:val="1F3864"/>
          <w:sz w:val="30"/>
          <w:szCs w:val="30"/>
        </w:rPr>
        <w:t xml:space="preserve">2. Repository Layout</w:t>
      </w:r>
    </w:p>
    <w:tbl>
      <w:tblPr>
        <w:tblW w:type="dxa" w:w="9200"/>
        <w:tblBorders>
          <w:top w:val="single" w:color="0F1B33" w:sz="4"/>
          <w:left w:val="single" w:color="0F1B33" w:sz="4"/>
          <w:bottom w:val="single" w:color="0F1B33" w:sz="4"/>
          <w:right w:val="single" w:color="0F1B33" w:sz="4"/>
          <w:insideH w:val="none"/>
          <w:insideV w:val="none"/>
        </w:tblBorders>
      </w:tblPr>
      <w:tblGrid>
        <w:gridCol w:w="9200"/>
      </w:tblGrid>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maya-x/</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apps/</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web/                      # Next.js — customer site + Admin Panel (route-grouped)</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 app/                  # App Router: (public)/, (account)/, (admin)/</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 public/</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 next.config.ts</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 tailwind.config.ts</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 playwright.config.ts</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 Dockerfile</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 package.json</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api/                      # NestJS — REST API</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src/</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 modules/          # identity, talent, booking, membership,</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                     # payment, notification, media, reporting</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 common/           # guards, pipes, interceptors, filters</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 main.ts</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test/                 # e2e/integration (Supertest)</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Dockerfile</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package.json</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packages/</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ui/                       # Shared React components implementing the Design System</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config/                   # Shared eslint, tsconfig, tailwind, prettier configs</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types/                    # Shared TypeScript types/DTOs (API request/response shapes)</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api-client/                # Typed fetch client wrapping the REST API (consumed by apps/web)</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utils/                    # Framework-agnostic helpers (date formatting, validation schemas)</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infra/</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docker/</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 docker-compose.yml    # Local dev: Postgres, Redis, api, web</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 docker-compose.test.yml</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aws/                       # ECS/EKS task defs, RDS/ElastiCache config references</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scripts/                   # Migration runner, seed data loader</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.github/</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workflows/</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ci.yml                 # lint → test → build on every PR</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deploy-staging.yml</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 deploy-production.yml</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.env.example                   # Root-level template; each app also has its own .env.example</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.eslintrc.cjs                  # Extends packages/config/eslint</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.prettierrc</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turbo.json</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pnpm-workspace.yaml</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tsconfig.base.json</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package.json                   # Root workspace manifest</w:t>
            </w:r>
          </w:p>
        </w:tc>
      </w:tr>
    </w:tbl>
    <w:p>
      <w:pPr>
        <w:spacing w:after="200" w:before="80"/>
      </w:pPr>
      <w:r>
        <w:rPr>
          <w:i/>
          <w:iCs/>
          <w:color w:val="666666"/>
          <w:sz w:val="18"/>
          <w:szCs w:val="18"/>
        </w:rPr>
        <w:t xml:space="preserve">Figure 2.1 — Top-level repository structure</w:t>
      </w:r>
    </w:p>
    <w:p>
      <w:pPr>
        <w:pStyle w:val="Heading2"/>
        <w:spacing w:after="120" w:before="240"/>
      </w:pPr>
      <w:r>
        <w:rPr>
          <w:b/>
          <w:bCs/>
          <w:color w:val="2E5395"/>
          <w:sz w:val="24"/>
          <w:szCs w:val="24"/>
        </w:rPr>
        <w:t xml:space="preserve">2.1 Why a Monorepo (vs. separate repos per app)</w:t>
      </w:r>
    </w:p>
    <w:p>
      <w:pPr>
        <w:pStyle w:val="ListParagraph"/>
        <w:numPr>
          <w:ilvl w:val="0"/>
          <w:numId w:val="2"/>
        </w:numPr>
        <w:spacing w:after="60"/>
      </w:pPr>
      <w:r>
        <w:rPr>
          <w:sz w:val="21"/>
          <w:szCs w:val="21"/>
        </w:rPr>
        <w:t xml:space="preserve">packages/types is shared verbatim between apps/api (source of truth) and apps/web (consumer) — a split-repo setup would require publishing and version-bumping a package on every API change.</w:t>
      </w:r>
    </w:p>
    <w:p>
      <w:pPr>
        <w:pStyle w:val="ListParagraph"/>
        <w:numPr>
          <w:ilvl w:val="0"/>
          <w:numId w:val="2"/>
        </w:numPr>
        <w:spacing w:after="60"/>
      </w:pPr>
      <w:r>
        <w:rPr>
          <w:sz w:val="21"/>
          <w:szCs w:val="21"/>
        </w:rPr>
        <w:t xml:space="preserve">Turborepo's affected-package detection means a frontend-only PR doesn't re-run backend tests, keeping CI fast despite the shared repo.</w:t>
      </w:r>
    </w:p>
    <w:p>
      <w:pPr>
        <w:pStyle w:val="ListParagraph"/>
        <w:numPr>
          <w:ilvl w:val="0"/>
          <w:numId w:val="2"/>
        </w:numPr>
        <w:spacing w:after="60"/>
      </w:pPr>
      <w:r>
        <w:rPr>
          <w:sz w:val="21"/>
          <w:szCs w:val="21"/>
        </w:rPr>
        <w:t xml:space="preserve">One PR can touch a DTO, its API endpoint, and its frontend consumer atomically — matching how the SRS/API Spec's fields flow end-to-end through the stack.</w:t>
      </w:r>
    </w:p>
    <w:p>
      <w:r>
        <w:br w:type="page"/>
      </w:r>
    </w:p>
    <w:p>
      <w:pPr>
        <w:pStyle w:val="Heading1"/>
        <w:spacing w:after="160" w:before="360"/>
      </w:pPr>
      <w:r>
        <w:rPr>
          <w:b/>
          <w:bCs/>
          <w:color w:val="1F3864"/>
          <w:sz w:val="30"/>
          <w:szCs w:val="30"/>
        </w:rPr>
        <w:t xml:space="preserve">3. Apps</w:t>
      </w:r>
    </w:p>
    <w:tbl>
      <w:tblPr>
        <w:tblW w:type="dxa" w:w="9200"/>
        <w:tblBorders>
          <w:top w:val="single" w:color="AAAAAA" w:sz="4"/>
          <w:left w:val="single" w:color="AAAAAA" w:sz="4"/>
          <w:bottom w:val="single" w:color="AAAAAA" w:sz="4"/>
          <w:right w:val="single" w:color="AAAAAA" w:sz="4"/>
          <w:insideH w:val="single" w:color="CCCCCC" w:sz="4"/>
          <w:insideV w:val="single" w:color="CCCCCC" w:sz="4"/>
        </w:tblBorders>
      </w:tblPr>
      <w:tblGrid>
        <w:gridCol w:w="1800"/>
        <w:gridCol w:w="4400"/>
        <w:gridCol w:w="3000"/>
      </w:tblGrid>
      <w:tr>
        <w:trPr>
          <w:tblHeader/>
        </w:trPr>
        <w:tc>
          <w:tcPr>
            <w:tcW w:type="dxa" w:w="1800"/>
            <w:shd w:fill="1F3864" w:val="clear"/>
            <w:tcMar>
              <w:top w:type="dxa" w:w="80"/>
              <w:left w:type="dxa" w:w="100"/>
              <w:bottom w:type="dxa" w:w="80"/>
              <w:right w:type="dxa" w:w="100"/>
            </w:tcMar>
            <w:vAlign w:val="center"/>
          </w:tcPr>
          <w:p>
            <w:pPr>
              <w:jc w:val="left"/>
            </w:pPr>
            <w:r>
              <w:rPr>
                <w:b/>
                <w:bCs/>
                <w:color w:val="FFFFFF"/>
                <w:sz w:val="19"/>
                <w:szCs w:val="19"/>
              </w:rPr>
              <w:t xml:space="preserve">App</w:t>
            </w:r>
          </w:p>
        </w:tc>
        <w:tc>
          <w:tcPr>
            <w:tcW w:type="dxa" w:w="4400"/>
            <w:shd w:fill="1F3864" w:val="clear"/>
            <w:tcMar>
              <w:top w:type="dxa" w:w="80"/>
              <w:left w:type="dxa" w:w="100"/>
              <w:bottom w:type="dxa" w:w="80"/>
              <w:right w:type="dxa" w:w="100"/>
            </w:tcMar>
            <w:vAlign w:val="center"/>
          </w:tcPr>
          <w:p>
            <w:pPr>
              <w:jc w:val="left"/>
            </w:pPr>
            <w:r>
              <w:rPr>
                <w:b/>
                <w:bCs/>
                <w:color w:val="FFFFFF"/>
                <w:sz w:val="19"/>
                <w:szCs w:val="19"/>
              </w:rPr>
              <w:t xml:space="preserve">Responsibility</w:t>
            </w:r>
          </w:p>
        </w:tc>
        <w:tc>
          <w:tcPr>
            <w:tcW w:type="dxa" w:w="3000"/>
            <w:shd w:fill="1F3864"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1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apps/web</w:t>
            </w:r>
          </w:p>
        </w:tc>
        <w:tc>
          <w:tcPr>
            <w:tcW w:type="dxa" w:w="44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Next.js frontend — public/customer site and Admin Panel, per Enterprise Architecture §2's decision to keep both in one Next.js app with route-group separation</w:t>
            </w:r>
          </w:p>
        </w:tc>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Deployed to Vercel; Admin route group is noindex and auth-gated by middleware</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apps/api</w:t>
            </w:r>
          </w:p>
        </w:tc>
        <w:tc>
          <w:tcPr>
            <w:tcW w:type="dxa" w:w="44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NestJS REST API implementing the modules in the Database Design and REST API Specification</w:t>
            </w:r>
          </w:p>
        </w:tc>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Deployed as a Docker container to AWS (ECS/EKS), horizontally autoscaled per Architecture §11</w:t>
            </w:r>
          </w:p>
        </w:tc>
      </w:tr>
    </w:tbl>
    <w:p>
      <w:pPr>
        <w:pBdr>
          <w:left w:val="single" w:color="8E8E8E" w:sz="12" w:space="8"/>
        </w:pBdr>
        <w:spacing w:after="160" w:before="60"/>
        <w:ind w:left="360"/>
      </w:pPr>
      <w:r>
        <w:rPr>
          <w:b/>
          <w:bCs/>
          <w:i/>
          <w:iCs/>
          <w:color w:val="8E8E8E"/>
          <w:sz w:val="20"/>
          <w:szCs w:val="20"/>
        </w:rPr>
        <w:t xml:space="preserve">ASSUMPTION: </w:t>
      </w:r>
      <w:r>
        <w:rPr>
          <w:i/>
          <w:iCs/>
          <w:color w:val="555555"/>
          <w:sz w:val="20"/>
          <w:szCs w:val="20"/>
        </w:rPr>
        <w:t xml:space="preserve">A single apps/web covering both customer and Admin surfaces follows the Enterprise Architecture's stated decision (§2). If the client later prefers two fully separate frontend deployments (e.g., for independent release cadence of the Admin Panel), this restructures to apps/web + apps/admin with packages/ui shared between them — a straightforward split given the packages/ layer already exists.</w:t>
      </w:r>
    </w:p>
    <w:p>
      <w:r>
        <w:br w:type="page"/>
      </w:r>
    </w:p>
    <w:p>
      <w:pPr>
        <w:pStyle w:val="Heading1"/>
        <w:spacing w:after="160" w:before="360"/>
      </w:pPr>
      <w:r>
        <w:rPr>
          <w:b/>
          <w:bCs/>
          <w:color w:val="1F3864"/>
          <w:sz w:val="30"/>
          <w:szCs w:val="30"/>
        </w:rPr>
        <w:t xml:space="preserve">4. Shared Packages / Libraries</w:t>
      </w:r>
    </w:p>
    <w:tbl>
      <w:tblPr>
        <w:tblW w:type="dxa" w:w="9200"/>
        <w:tblBorders>
          <w:top w:val="single" w:color="AAAAAA" w:sz="4"/>
          <w:left w:val="single" w:color="AAAAAA" w:sz="4"/>
          <w:bottom w:val="single" w:color="AAAAAA" w:sz="4"/>
          <w:right w:val="single" w:color="AAAAAA" w:sz="4"/>
          <w:insideH w:val="single" w:color="CCCCCC" w:sz="4"/>
          <w:insideV w:val="single" w:color="CCCCCC" w:sz="4"/>
        </w:tblBorders>
      </w:tblPr>
      <w:tblGrid>
        <w:gridCol w:w="1800"/>
        <w:gridCol w:w="4800"/>
        <w:gridCol w:w="2600"/>
      </w:tblGrid>
      <w:tr>
        <w:trPr>
          <w:tblHeader/>
        </w:trPr>
        <w:tc>
          <w:tcPr>
            <w:tcW w:type="dxa" w:w="1800"/>
            <w:shd w:fill="1F3864" w:val="clear"/>
            <w:tcMar>
              <w:top w:type="dxa" w:w="80"/>
              <w:left w:type="dxa" w:w="100"/>
              <w:bottom w:type="dxa" w:w="80"/>
              <w:right w:type="dxa" w:w="100"/>
            </w:tcMar>
            <w:vAlign w:val="center"/>
          </w:tcPr>
          <w:p>
            <w:pPr>
              <w:jc w:val="left"/>
            </w:pPr>
            <w:r>
              <w:rPr>
                <w:b/>
                <w:bCs/>
                <w:color w:val="FFFFFF"/>
                <w:sz w:val="19"/>
                <w:szCs w:val="19"/>
              </w:rPr>
              <w:t xml:space="preserve">Package</w:t>
            </w:r>
          </w:p>
        </w:tc>
        <w:tc>
          <w:tcPr>
            <w:tcW w:type="dxa" w:w="4800"/>
            <w:shd w:fill="1F3864" w:val="clear"/>
            <w:tcMar>
              <w:top w:type="dxa" w:w="80"/>
              <w:left w:type="dxa" w:w="100"/>
              <w:bottom w:type="dxa" w:w="80"/>
              <w:right w:type="dxa" w:w="100"/>
            </w:tcMar>
            <w:vAlign w:val="center"/>
          </w:tcPr>
          <w:p>
            <w:pPr>
              <w:jc w:val="left"/>
            </w:pPr>
            <w:r>
              <w:rPr>
                <w:b/>
                <w:bCs/>
                <w:color w:val="FFFFFF"/>
                <w:sz w:val="19"/>
                <w:szCs w:val="19"/>
              </w:rPr>
              <w:t xml:space="preserve">Contents</w:t>
            </w:r>
          </w:p>
        </w:tc>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Consumed by</w:t>
            </w:r>
          </w:p>
        </w:tc>
      </w:tr>
      <w:tr>
        <w:tc>
          <w:tcPr>
            <w:tcW w:type="dxa" w:w="1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packages/ui</w:t>
            </w:r>
          </w:p>
        </w:tc>
        <w:tc>
          <w:tcPr>
            <w:tcW w:type="dxa" w:w="4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React components implementing the Design System (buttons, cards, forms, badges, modals, alerts, nav) as framework-level building blocks, styled with the shared Tailwind config</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apps/web</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packages/config</w:t>
            </w:r>
          </w:p>
        </w:tc>
        <w:tc>
          <w:tcPr>
            <w:tcW w:type="dxa" w:w="4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eslint-config-maya-x, tsconfig bases (base/next/nest variants), shared tailwind.config fragment, prettier config</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apps/web, apps/api, all packages</w:t>
            </w:r>
          </w:p>
        </w:tc>
      </w:tr>
      <w:tr>
        <w:tc>
          <w:tcPr>
            <w:tcW w:type="dxa" w:w="1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packages/types</w:t>
            </w:r>
          </w:p>
        </w:tc>
        <w:tc>
          <w:tcPr>
            <w:tcW w:type="dxa" w:w="4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TypeScript interfaces for every API request/response shape and entity DTO, generated or hand-maintained from the REST API Specification and Database Design</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apps/web (via api-client), apps/api (as the return-type contract for controllers)</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packages/api-client</w:t>
            </w:r>
          </w:p>
        </w:tc>
        <w:tc>
          <w:tcPr>
            <w:tcW w:type="dxa" w:w="4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 typed fetch wrapper (one function per endpoint in the API Specification) with request/response typing from packages/types, auth-token attachment, and error-envelope parsing</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apps/web only</w:t>
            </w:r>
          </w:p>
        </w:tc>
      </w:tr>
      <w:tr>
        <w:tc>
          <w:tcPr>
            <w:tcW w:type="dxa" w:w="1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packages/utils</w:t>
            </w:r>
          </w:p>
        </w:tc>
        <w:tc>
          <w:tcPr>
            <w:tcW w:type="dxa" w:w="4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Framework-agnostic helpers: currency/date formatting, shared Zod/validation schemas mirrored from the API's DTO validation rules, slug generation</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apps/web, apps/api</w:t>
            </w:r>
          </w:p>
        </w:tc>
      </w:tr>
    </w:tbl>
    <w:p>
      <w:pPr>
        <w:pBdr>
          <w:left w:val="single" w:color="1E6B3D" w:sz="12" w:space="8"/>
        </w:pBdr>
        <w:spacing w:after="160" w:before="60"/>
        <w:ind w:left="360"/>
      </w:pPr>
      <w:r>
        <w:rPr>
          <w:b/>
          <w:bCs/>
          <w:i/>
          <w:iCs/>
          <w:color w:val="1E6B3D"/>
          <w:sz w:val="20"/>
          <w:szCs w:val="20"/>
        </w:rPr>
        <w:t xml:space="preserve">DESIGN DECISION: </w:t>
      </w:r>
      <w:r>
        <w:rPr>
          <w:i/>
          <w:iCs/>
          <w:color w:val="555555"/>
          <w:sz w:val="20"/>
          <w:szCs w:val="20"/>
        </w:rPr>
        <w:t xml:space="preserve">packages/types is hand-authored (not auto-generated from an OpenAPI file) at this stage, since the REST API Specification is documentation-format rather than a machine-readable OpenAPI YAML. Once the API stabilizes, generating packages/types from a true OpenAPI spec (openapi-typescript or similar) is a natural follow-up to remove hand-sync risk — flagged here as a recommended future step, not required for M0.</w:t>
      </w:r>
    </w:p>
    <w:p>
      <w:r>
        <w:br w:type="page"/>
      </w:r>
    </w:p>
    <w:p>
      <w:pPr>
        <w:pStyle w:val="Heading1"/>
        <w:spacing w:after="160" w:before="360"/>
      </w:pPr>
      <w:r>
        <w:rPr>
          <w:b/>
          <w:bCs/>
          <w:color w:val="1F3864"/>
          <w:sz w:val="30"/>
          <w:szCs w:val="30"/>
        </w:rPr>
        <w:t xml:space="preserve">5. Docker</w:t>
      </w:r>
    </w:p>
    <w:tbl>
      <w:tblPr>
        <w:tblW w:type="dxa" w:w="9200"/>
        <w:tblBorders>
          <w:top w:val="single" w:color="AAAAAA" w:sz="4"/>
          <w:left w:val="single" w:color="AAAAAA" w:sz="4"/>
          <w:bottom w:val="single" w:color="AAAAAA" w:sz="4"/>
          <w:right w:val="single" w:color="AAAAAA" w:sz="4"/>
          <w:insideH w:val="single" w:color="CCCCCC" w:sz="4"/>
          <w:insideV w:val="single" w:color="CCCCCC" w:sz="4"/>
        </w:tblBorders>
      </w:tblPr>
      <w:tblGrid>
        <w:gridCol w:w="3000"/>
        <w:gridCol w:w="6200"/>
      </w:tblGrid>
      <w:tr>
        <w:trPr>
          <w:tblHeader/>
        </w:trPr>
        <w:tc>
          <w:tcPr>
            <w:tcW w:type="dxa" w:w="3000"/>
            <w:shd w:fill="1F3864" w:val="clear"/>
            <w:tcMar>
              <w:top w:type="dxa" w:w="80"/>
              <w:left w:type="dxa" w:w="100"/>
              <w:bottom w:type="dxa" w:w="80"/>
              <w:right w:type="dxa" w:w="100"/>
            </w:tcMar>
            <w:vAlign w:val="center"/>
          </w:tcPr>
          <w:p>
            <w:pPr>
              <w:jc w:val="left"/>
            </w:pPr>
            <w:r>
              <w:rPr>
                <w:b/>
                <w:bCs/>
                <w:color w:val="FFFFFF"/>
                <w:sz w:val="19"/>
                <w:szCs w:val="19"/>
              </w:rPr>
              <w:t xml:space="preserve">File</w:t>
            </w:r>
          </w:p>
        </w:tc>
        <w:tc>
          <w:tcPr>
            <w:tcW w:type="dxa" w:w="6200"/>
            <w:shd w:fill="1F3864" w:val="clear"/>
            <w:tcMar>
              <w:top w:type="dxa" w:w="80"/>
              <w:left w:type="dxa" w:w="100"/>
              <w:bottom w:type="dxa" w:w="80"/>
              <w:right w:type="dxa" w:w="100"/>
            </w:tcMar>
            <w:vAlign w:val="center"/>
          </w:tcPr>
          <w:p>
            <w:pPr>
              <w:jc w:val="left"/>
            </w:pPr>
            <w:r>
              <w:rPr>
                <w:b/>
                <w:bCs/>
                <w:color w:val="FFFFFF"/>
                <w:sz w:val="19"/>
                <w:szCs w:val="19"/>
              </w:rPr>
              <w:t xml:space="preserve">Purpose</w:t>
            </w:r>
          </w:p>
        </w:tc>
      </w:tr>
      <w:tr>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apps/api/Dockerfile</w:t>
            </w:r>
          </w:p>
        </w:tc>
        <w:tc>
          <w:tcPr>
            <w:tcW w:type="dxa" w:w="6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Multi-stage build: install → build → slim runtime image (node:alpine) running the compiled NestJS output</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apps/web/Dockerfile</w:t>
            </w:r>
          </w:p>
        </w:tc>
        <w:tc>
          <w:tcPr>
            <w:tcW w:type="dxa" w:w="6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Multi-stage build for a self-hosted fallback/staging container; production frontend deploys to Vercel directly from Git, per Architecture §10 — this Dockerfile exists for parity in local/staging testing and disaster-recovery portability</w:t>
            </w:r>
          </w:p>
        </w:tc>
      </w:tr>
      <w:tr>
        <w:tc>
          <w:tcPr>
            <w:tcW w:type="dxa" w:w="3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infra/docker/docker-compose.yml</w:t>
            </w:r>
          </w:p>
        </w:tc>
        <w:tc>
          <w:tcPr>
            <w:tcW w:type="dxa" w:w="6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Local development: postgres, redis, api (built from apps/api/Dockerfile with volume-mounted source for hot reload), and optionally web</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infra/docker/docker-compose.test.yml</w:t>
            </w:r>
          </w:p>
        </w:tc>
        <w:tc>
          <w:tcPr>
            <w:tcW w:type="dxa" w:w="6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Ephemeral Postgres/Redis instances for CI integration tests — isolated from the dev compose file so test runs never touch dev data</w:t>
            </w:r>
          </w:p>
        </w:tc>
      </w:tr>
    </w:tbl>
    <w:p>
      <w:r>
        <w:br w:type="page"/>
      </w:r>
    </w:p>
    <w:p>
      <w:pPr>
        <w:pStyle w:val="Heading1"/>
        <w:spacing w:after="160" w:before="360"/>
      </w:pPr>
      <w:r>
        <w:rPr>
          <w:b/>
          <w:bCs/>
          <w:color w:val="1F3864"/>
          <w:sz w:val="30"/>
          <w:szCs w:val="30"/>
        </w:rPr>
        <w:t xml:space="preserve">6. CI/CD Pipeline</w:t>
      </w:r>
    </w:p>
    <w:tbl>
      <w:tblPr>
        <w:tblW w:type="dxa" w:w="9200"/>
        <w:tblBorders>
          <w:top w:val="single" w:color="0F1B33" w:sz="4"/>
          <w:left w:val="single" w:color="0F1B33" w:sz="4"/>
          <w:bottom w:val="single" w:color="0F1B33" w:sz="4"/>
          <w:right w:val="single" w:color="0F1B33" w:sz="4"/>
          <w:insideH w:val="none"/>
          <w:insideV w:val="none"/>
        </w:tblBorders>
      </w:tblPr>
      <w:tblGrid>
        <w:gridCol w:w="9200"/>
      </w:tblGrid>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.github/workflows/ci.yml   (runs on every pull request)</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1. checkout</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2. pnpm install --frozen-lockfile</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3. turbo run lint          # affected packages only</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4. turbo run typecheck</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5. turbo run test          # unit + integration (Supertest against docker-compose.test.yml)</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6. turbo run build</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7. (apps/web) Playwright e2e against a preview build</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8. Vercel preview deployment comment posted to the PR</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.github/workflows/deploy-staging.yml   (runs on merge to main)</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1. Re-run the CI steps above (no build is trusted from a PR run)</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2. Build &amp; push apps/api Docker image to the registry, tagged with the commit SHA</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3. Run database migrations against the staging RDS instance</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4. Deploy apps/api image to the staging ECS/EKS service</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5. apps/web auto-deploys to Vercel's staging alias via its Git integration</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.github/workflows/deploy-production.yml   (manual approval gate)</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1. Promote the exact staging-tested Docker image tag (no rebuild)</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2. Run database migrations against production RDS (with an automatic pre-migration snapshot)</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3. Rolling deploy to production ECS/EKS, health-checked before old tasks are drained</w:t>
            </w:r>
          </w:p>
        </w:tc>
      </w:tr>
      <w:tr>
        <w:tc>
          <w:tcPr>
            <w:tcW w:type="dxa" w:w="9200"/>
            <w:shd w:fill="0F1B33" w:val="clear"/>
            <w:tcMar>
              <w:top w:type="dxa" w:w="20"/>
              <w:left w:type="dxa" w:w="160"/>
              <w:bottom w:type="dxa" w:w="20"/>
              <w:right w:type="dxa" w:w="160"/>
            </w:tcMar>
          </w:tcPr>
          <w:p>
            <w:pPr>
              <w:spacing w:after="0" w:line="220"/>
            </w:pPr>
            <w:r>
              <w:rPr>
                <w:rFonts w:ascii="Consolas" w:cs="Consolas" w:eastAsia="Consolas" w:hAnsi="Consolas"/>
                <w:color w:val="D6E4FF"/>
                <w:sz w:val="16"/>
                <w:szCs w:val="16"/>
              </w:rPr>
              <w:t xml:space="preserve">  4. apps/web promoted to the Vercel production alias</w:t>
            </w:r>
          </w:p>
        </w:tc>
      </w:tr>
    </w:tbl>
    <w:p>
      <w:pPr>
        <w:spacing w:after="200" w:before="80"/>
      </w:pPr>
      <w:r>
        <w:rPr>
          <w:i/>
          <w:iCs/>
          <w:color w:val="666666"/>
          <w:sz w:val="18"/>
          <w:szCs w:val="18"/>
        </w:rPr>
        <w:t xml:space="preserve">Figure 6.1 — Pipeline stages (no application logic — stage names and ordering only)</w:t>
      </w:r>
    </w:p>
    <w:p>
      <w:pPr>
        <w:pStyle w:val="Heading2"/>
        <w:spacing w:after="120" w:before="240"/>
      </w:pPr>
      <w:r>
        <w:rPr>
          <w:b/>
          <w:bCs/>
          <w:color w:val="2E5395"/>
          <w:sz w:val="24"/>
          <w:szCs w:val="24"/>
        </w:rPr>
        <w:t xml:space="preserve">6.1 Key Principles</w:t>
      </w:r>
    </w:p>
    <w:p>
      <w:pPr>
        <w:pStyle w:val="ListParagraph"/>
        <w:numPr>
          <w:ilvl w:val="0"/>
          <w:numId w:val="2"/>
        </w:numPr>
        <w:spacing w:after="60"/>
      </w:pPr>
      <w:r>
        <w:rPr>
          <w:sz w:val="21"/>
          <w:szCs w:val="21"/>
        </w:rPr>
        <w:t xml:space="preserve">Nothing is deployed to production that wasn't first deployed and verified on staging with the identical build artifact (image promotion, not rebuild-on-deploy).</w:t>
      </w:r>
    </w:p>
    <w:p>
      <w:pPr>
        <w:pStyle w:val="ListParagraph"/>
        <w:numPr>
          <w:ilvl w:val="0"/>
          <w:numId w:val="2"/>
        </w:numPr>
        <w:spacing w:after="60"/>
      </w:pPr>
      <w:r>
        <w:rPr>
          <w:sz w:val="21"/>
          <w:szCs w:val="21"/>
        </w:rPr>
        <w:t xml:space="preserve">Database migrations run as an explicit, logged pipeline step — never implicitly on application boot — so a failed migration halts the deploy rather than partially applying.</w:t>
      </w:r>
    </w:p>
    <w:p>
      <w:pPr>
        <w:pStyle w:val="ListParagraph"/>
        <w:numPr>
          <w:ilvl w:val="0"/>
          <w:numId w:val="2"/>
        </w:numPr>
        <w:spacing w:after="60"/>
      </w:pPr>
      <w:r>
        <w:rPr>
          <w:sz w:val="21"/>
          <w:szCs w:val="21"/>
        </w:rPr>
        <w:t xml:space="preserve">Turborepo's caching means a PR that only touches apps/web skips apps/api's test suite entirely, keeping CI feedback fast.</w:t>
      </w:r>
    </w:p>
    <w:p>
      <w:r>
        <w:br w:type="page"/>
      </w:r>
    </w:p>
    <w:p>
      <w:pPr>
        <w:pStyle w:val="Heading1"/>
        <w:spacing w:after="160" w:before="360"/>
      </w:pPr>
      <w:r>
        <w:rPr>
          <w:b/>
          <w:bCs/>
          <w:color w:val="1F3864"/>
          <w:sz w:val="30"/>
          <w:szCs w:val="30"/>
        </w:rPr>
        <w:t xml:space="preserve">7. Linting &amp; Formatting</w:t>
      </w:r>
    </w:p>
    <w:tbl>
      <w:tblPr>
        <w:tblW w:type="dxa" w:w="9200"/>
        <w:tblBorders>
          <w:top w:val="single" w:color="AAAAAA" w:sz="4"/>
          <w:left w:val="single" w:color="AAAAAA" w:sz="4"/>
          <w:bottom w:val="single" w:color="AAAAAA" w:sz="4"/>
          <w:right w:val="single" w:color="AAAAAA" w:sz="4"/>
          <w:insideH w:val="single" w:color="CCCCCC" w:sz="4"/>
          <w:insideV w:val="single" w:color="CCCCCC" w:sz="4"/>
        </w:tblBorders>
      </w:tblPr>
      <w:tblGrid>
        <w:gridCol w:w="2000"/>
        <w:gridCol w:w="7200"/>
      </w:tblGrid>
      <w:tr>
        <w:trPr>
          <w:tblHeader/>
        </w:trPr>
        <w:tc>
          <w:tcPr>
            <w:tcW w:type="dxa" w:w="2000"/>
            <w:shd w:fill="1F3864" w:val="clear"/>
            <w:tcMar>
              <w:top w:type="dxa" w:w="80"/>
              <w:left w:type="dxa" w:w="100"/>
              <w:bottom w:type="dxa" w:w="80"/>
              <w:right w:type="dxa" w:w="100"/>
            </w:tcMar>
            <w:vAlign w:val="center"/>
          </w:tcPr>
          <w:p>
            <w:pPr>
              <w:jc w:val="left"/>
            </w:pPr>
            <w:r>
              <w:rPr>
                <w:b/>
                <w:bCs/>
                <w:color w:val="FFFFFF"/>
                <w:sz w:val="19"/>
                <w:szCs w:val="19"/>
              </w:rPr>
              <w:t xml:space="preserve">Layer</w:t>
            </w:r>
          </w:p>
        </w:tc>
        <w:tc>
          <w:tcPr>
            <w:tcW w:type="dxa" w:w="7200"/>
            <w:shd w:fill="1F3864" w:val="clear"/>
            <w:tcMar>
              <w:top w:type="dxa" w:w="80"/>
              <w:left w:type="dxa" w:w="100"/>
              <w:bottom w:type="dxa" w:w="80"/>
              <w:right w:type="dxa" w:w="100"/>
            </w:tcMar>
            <w:vAlign w:val="center"/>
          </w:tcPr>
          <w:p>
            <w:pPr>
              <w:jc w:val="left"/>
            </w:pPr>
            <w:r>
              <w:rPr>
                <w:b/>
                <w:bCs/>
                <w:color w:val="FFFFFF"/>
                <w:sz w:val="19"/>
                <w:szCs w:val="19"/>
              </w:rPr>
              <w:t xml:space="preserve">Configuration</w:t>
            </w:r>
          </w:p>
        </w:tc>
      </w:tr>
      <w:tr>
        <w:tc>
          <w:tcPr>
            <w:tcW w:type="dxa" w:w="2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Root</w:t>
            </w:r>
          </w:p>
        </w:tc>
        <w:tc>
          <w:tcPr>
            <w:tcW w:type="dxa" w:w="7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packages/config/eslint exports a base config (TypeScript-aware, import-order enforcement, no-floating-promises); apps/web and apps/api each extend it with framework-specific rules (Next.js plugin, NestJS decorator-aware rules)</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Formatting</w:t>
            </w:r>
          </w:p>
        </w:tc>
        <w:tc>
          <w:tcPr>
            <w:tcW w:type="dxa" w:w="7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 single root .prettierrc applies repo-wide; no per-app overrides, to keep diffs consistent across the monorepo</w:t>
            </w:r>
          </w:p>
        </w:tc>
      </w:tr>
      <w:tr>
        <w:tc>
          <w:tcPr>
            <w:tcW w:type="dxa" w:w="20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Pre-commit</w:t>
            </w:r>
          </w:p>
        </w:tc>
        <w:tc>
          <w:tcPr>
            <w:tcW w:type="dxa" w:w="72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 Git hook (e.g., simple-git-hooks + lint-staged) runs ESLint --fix and Prettier on staged files only, keeping commits fast</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CI enforcement</w:t>
            </w:r>
          </w:p>
        </w:tc>
        <w:tc>
          <w:tcPr>
            <w:tcW w:type="dxa" w:w="72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turbo run lint fails the build on any warning-as-error rule violation — formatting/linting is a merge gate, not a suggestion</w:t>
            </w:r>
          </w:p>
        </w:tc>
      </w:tr>
    </w:tbl>
    <w:p>
      <w:r>
        <w:br w:type="page"/>
      </w:r>
    </w:p>
    <w:p>
      <w:pPr>
        <w:pStyle w:val="Heading1"/>
        <w:spacing w:after="160" w:before="360"/>
      </w:pPr>
      <w:r>
        <w:rPr>
          <w:b/>
          <w:bCs/>
          <w:color w:val="1F3864"/>
          <w:sz w:val="30"/>
          <w:szCs w:val="30"/>
        </w:rPr>
        <w:t xml:space="preserve">8. Testing Strategy</w:t>
      </w:r>
    </w:p>
    <w:tbl>
      <w:tblPr>
        <w:tblW w:type="dxa" w:w="9200"/>
        <w:tblBorders>
          <w:top w:val="single" w:color="AAAAAA" w:sz="4"/>
          <w:left w:val="single" w:color="AAAAAA" w:sz="4"/>
          <w:bottom w:val="single" w:color="AAAAAA" w:sz="4"/>
          <w:right w:val="single" w:color="AAAAAA" w:sz="4"/>
          <w:insideH w:val="single" w:color="CCCCCC" w:sz="4"/>
          <w:insideV w:val="single" w:color="CCCCCC" w:sz="4"/>
        </w:tblBorders>
      </w:tblPr>
      <w:tblGrid>
        <w:gridCol w:w="1800"/>
        <w:gridCol w:w="2600"/>
        <w:gridCol w:w="4800"/>
      </w:tblGrid>
      <w:tr>
        <w:trPr>
          <w:tblHeader/>
        </w:trPr>
        <w:tc>
          <w:tcPr>
            <w:tcW w:type="dxa" w:w="1800"/>
            <w:shd w:fill="1F3864" w:val="clear"/>
            <w:tcMar>
              <w:top w:type="dxa" w:w="80"/>
              <w:left w:type="dxa" w:w="100"/>
              <w:bottom w:type="dxa" w:w="80"/>
              <w:right w:type="dxa" w:w="100"/>
            </w:tcMar>
            <w:vAlign w:val="center"/>
          </w:tcPr>
          <w:p>
            <w:pPr>
              <w:jc w:val="left"/>
            </w:pPr>
            <w:r>
              <w:rPr>
                <w:b/>
                <w:bCs/>
                <w:color w:val="FFFFFF"/>
                <w:sz w:val="19"/>
                <w:szCs w:val="19"/>
              </w:rPr>
              <w:t xml:space="preserve">Level</w:t>
            </w:r>
          </w:p>
        </w:tc>
        <w:tc>
          <w:tcPr>
            <w:tcW w:type="dxa" w:w="2600"/>
            <w:shd w:fill="1F3864" w:val="clear"/>
            <w:tcMar>
              <w:top w:type="dxa" w:w="80"/>
              <w:left w:type="dxa" w:w="100"/>
              <w:bottom w:type="dxa" w:w="80"/>
              <w:right w:type="dxa" w:w="100"/>
            </w:tcMar>
            <w:vAlign w:val="center"/>
          </w:tcPr>
          <w:p>
            <w:pPr>
              <w:jc w:val="left"/>
            </w:pPr>
            <w:r>
              <w:rPr>
                <w:b/>
                <w:bCs/>
                <w:color w:val="FFFFFF"/>
                <w:sz w:val="19"/>
                <w:szCs w:val="19"/>
              </w:rPr>
              <w:t xml:space="preserve">Tool</w:t>
            </w:r>
          </w:p>
        </w:tc>
        <w:tc>
          <w:tcPr>
            <w:tcW w:type="dxa" w:w="4800"/>
            <w:shd w:fill="1F3864" w:val="clear"/>
            <w:tcMar>
              <w:top w:type="dxa" w:w="80"/>
              <w:left w:type="dxa" w:w="100"/>
              <w:bottom w:type="dxa" w:w="80"/>
              <w:right w:type="dxa" w:w="100"/>
            </w:tcMar>
            <w:vAlign w:val="center"/>
          </w:tcPr>
          <w:p>
            <w:pPr>
              <w:jc w:val="left"/>
            </w:pPr>
            <w:r>
              <w:rPr>
                <w:b/>
                <w:bCs/>
                <w:color w:val="FFFFFF"/>
                <w:sz w:val="19"/>
                <w:szCs w:val="19"/>
              </w:rPr>
              <w:t xml:space="preserve">Scope</w:t>
            </w:r>
          </w:p>
        </w:tc>
      </w:tr>
      <w:tr>
        <w:tc>
          <w:tcPr>
            <w:tcW w:type="dxa" w:w="1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Unit</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Jest (apps/api), Vitest (apps/web, packages/*)</w:t>
            </w:r>
          </w:p>
        </w:tc>
        <w:tc>
          <w:tcPr>
            <w:tcW w:type="dxa" w:w="4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Individual services/functions in isolation — e.g., a Booking status-transition validator, a coupon discount calculator</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Integration</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Jest + Supertest against docker-compose.test.yml</w:t>
            </w:r>
          </w:p>
        </w:tc>
        <w:tc>
          <w:tcPr>
            <w:tcW w:type="dxa" w:w="4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NestJS controllers hitting a real (ephemeral) Postgres instance — validates the DTO/validation rules in the REST API Specification actually reject/accept as documented</w:t>
            </w:r>
          </w:p>
        </w:tc>
      </w:tr>
      <w:tr>
        <w:tc>
          <w:tcPr>
            <w:tcW w:type="dxa" w:w="1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Component</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Vitest + Testing Library</w:t>
            </w:r>
          </w:p>
        </w:tc>
        <w:tc>
          <w:tcPr>
            <w:tcW w:type="dxa" w:w="4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packages/ui components rendered in isolation against the Design System's states (default, hover, error, disabled)</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End-to-end</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Playwright</w:t>
            </w:r>
          </w:p>
        </w:tc>
        <w:tc>
          <w:tcPr>
            <w:tcW w:type="dxa" w:w="4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Full user journeys from the PRD (§8): Guest booking submission, Member membership purchase, Admin booking review — run against a staging-like environment in CI</w:t>
            </w:r>
          </w:p>
        </w:tc>
      </w:tr>
      <w:tr>
        <w:tc>
          <w:tcPr>
            <w:tcW w:type="dxa" w:w="1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Contract</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Shared packages/types as the enforced contract</w:t>
            </w:r>
          </w:p>
        </w:tc>
        <w:tc>
          <w:tcPr>
            <w:tcW w:type="dxa" w:w="4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 backend change that alters a response shape breaks the TypeScript build in apps/web at compile time, not at runtime</w:t>
            </w:r>
          </w:p>
        </w:tc>
      </w:tr>
    </w:tbl>
    <w:p>
      <w:r>
        <w:br w:type="page"/>
      </w:r>
    </w:p>
    <w:p>
      <w:pPr>
        <w:pStyle w:val="Heading1"/>
        <w:spacing w:after="160" w:before="360"/>
      </w:pPr>
      <w:r>
        <w:rPr>
          <w:b/>
          <w:bCs/>
          <w:color w:val="1F3864"/>
          <w:sz w:val="30"/>
          <w:szCs w:val="30"/>
        </w:rPr>
        <w:t xml:space="preserve">9. Environment Management</w:t>
      </w:r>
    </w:p>
    <w:tbl>
      <w:tblPr>
        <w:tblW w:type="dxa" w:w="9200"/>
        <w:tblBorders>
          <w:top w:val="single" w:color="AAAAAA" w:sz="4"/>
          <w:left w:val="single" w:color="AAAAAA" w:sz="4"/>
          <w:bottom w:val="single" w:color="AAAAAA" w:sz="4"/>
          <w:right w:val="single" w:color="AAAAAA" w:sz="4"/>
          <w:insideH w:val="single" w:color="CCCCCC" w:sz="4"/>
          <w:insideV w:val="single" w:color="CCCCCC" w:sz="4"/>
        </w:tblBorders>
      </w:tblPr>
      <w:tblGrid>
        <w:gridCol w:w="1800"/>
        <w:gridCol w:w="3800"/>
        <w:gridCol w:w="3600"/>
      </w:tblGrid>
      <w:tr>
        <w:trPr>
          <w:tblHeader/>
        </w:trPr>
        <w:tc>
          <w:tcPr>
            <w:tcW w:type="dxa" w:w="1800"/>
            <w:shd w:fill="1F3864" w:val="clear"/>
            <w:tcMar>
              <w:top w:type="dxa" w:w="80"/>
              <w:left w:type="dxa" w:w="100"/>
              <w:bottom w:type="dxa" w:w="80"/>
              <w:right w:type="dxa" w:w="100"/>
            </w:tcMar>
            <w:vAlign w:val="center"/>
          </w:tcPr>
          <w:p>
            <w:pPr>
              <w:jc w:val="left"/>
            </w:pPr>
            <w:r>
              <w:rPr>
                <w:b/>
                <w:bCs/>
                <w:color w:val="FFFFFF"/>
                <w:sz w:val="19"/>
                <w:szCs w:val="19"/>
              </w:rPr>
              <w:t xml:space="preserve">Environment</w:t>
            </w:r>
          </w:p>
        </w:tc>
        <w:tc>
          <w:tcPr>
            <w:tcW w:type="dxa" w:w="3800"/>
            <w:shd w:fill="1F3864" w:val="clear"/>
            <w:tcMar>
              <w:top w:type="dxa" w:w="80"/>
              <w:left w:type="dxa" w:w="100"/>
              <w:bottom w:type="dxa" w:w="80"/>
              <w:right w:type="dxa" w:w="100"/>
            </w:tcMar>
            <w:vAlign w:val="center"/>
          </w:tcPr>
          <w:p>
            <w:pPr>
              <w:jc w:val="left"/>
            </w:pPr>
            <w:r>
              <w:rPr>
                <w:b/>
                <w:bCs/>
                <w:color w:val="FFFFFF"/>
                <w:sz w:val="19"/>
                <w:szCs w:val="19"/>
              </w:rPr>
              <w:t xml:space="preserve">Config Source</w:t>
            </w:r>
          </w:p>
        </w:tc>
        <w:tc>
          <w:tcPr>
            <w:tcW w:type="dxa" w:w="3600"/>
            <w:shd w:fill="1F3864" w:val="clear"/>
            <w:tcMar>
              <w:top w:type="dxa" w:w="80"/>
              <w:left w:type="dxa" w:w="100"/>
              <w:bottom w:type="dxa" w:w="80"/>
              <w:right w:type="dxa" w:w="100"/>
            </w:tcMar>
            <w:vAlign w:val="center"/>
          </w:tcPr>
          <w:p>
            <w:pPr>
              <w:jc w:val="left"/>
            </w:pPr>
            <w:r>
              <w:rPr>
                <w:b/>
                <w:bCs/>
                <w:color w:val="FFFFFF"/>
                <w:sz w:val="19"/>
                <w:szCs w:val="19"/>
              </w:rPr>
              <w:t xml:space="preserve">Secrets</w:t>
            </w:r>
          </w:p>
        </w:tc>
      </w:tr>
      <w:tr>
        <w:tc>
          <w:tcPr>
            <w:tcW w:type="dxa" w:w="1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Local development</w:t>
            </w:r>
          </w:p>
        </w:tc>
        <w:tc>
          <w:tcPr>
            <w:tcW w:type="dxa" w:w="3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.env (git-ignored) per app, copied from .env.example</w:t>
            </w:r>
          </w:p>
        </w:tc>
        <w:tc>
          <w:tcPr>
            <w:tcW w:type="dxa" w:w="3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Sandbox/test Razorpay and Cloudinary keys only — never production credentials on a developer machine</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CI (test)</w:t>
            </w:r>
          </w:p>
        </w:tc>
        <w:tc>
          <w:tcPr>
            <w:tcW w:type="dxa" w:w="3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Injected as GitHub Actions repository/environment secrets</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Ephemeral test-only database credentials; no third-party API keys required (Razorpay/Cloudinary calls are mocked in CI tests)</w:t>
            </w:r>
          </w:p>
        </w:tc>
      </w:tr>
      <w:tr>
        <w:tc>
          <w:tcPr>
            <w:tcW w:type="dxa" w:w="1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Staging</w:t>
            </w:r>
          </w:p>
        </w:tc>
        <w:tc>
          <w:tcPr>
            <w:tcW w:type="dxa" w:w="38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AWS Secrets Manager, injected into the ECS task definition at deploy time; Vercel Environment Variables for apps/web</w:t>
            </w:r>
          </w:p>
        </w:tc>
        <w:tc>
          <w:tcPr>
            <w:tcW w:type="dxa" w:w="3600"/>
            <w:shd w:fill="FFFFFF" w:val="clear"/>
            <w:tcMar>
              <w:top w:type="dxa" w:w="80"/>
              <w:left w:type="dxa" w:w="100"/>
              <w:bottom w:type="dxa" w:w="80"/>
              <w:right w:type="dxa" w:w="100"/>
            </w:tcMar>
            <w:vAlign w:val="center"/>
          </w:tcPr>
          <w:p>
            <w:pPr>
              <w:jc w:val="left"/>
            </w:pPr>
            <w:r>
              <w:rPr>
                <w:b w:val="false"/>
                <w:bCs w:val="false"/>
                <w:color w:val="000000"/>
                <w:sz w:val="19"/>
                <w:szCs w:val="19"/>
              </w:rPr>
              <w:t xml:space="preserve">Razorpay/Cloudinary sandbox credentials</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Production</w:t>
            </w:r>
          </w:p>
        </w:tc>
        <w:tc>
          <w:tcPr>
            <w:tcW w:type="dxa" w:w="38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AWS Secrets Manager + Vercel Environment Variables (production scope)</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Live Razorpay/Cloudinary credentials, rotated per a defined schedule, never committed or logged</w:t>
            </w:r>
          </w:p>
        </w:tc>
      </w:tr>
    </w:tbl>
    <w:p>
      <w:pPr>
        <w:pStyle w:val="Heading2"/>
        <w:spacing w:after="120" w:before="240"/>
      </w:pPr>
      <w:r>
        <w:rPr>
          <w:b/>
          <w:bCs/>
          <w:color w:val="2E5395"/>
          <w:sz w:val="24"/>
          <w:szCs w:val="24"/>
        </w:rPr>
        <w:t xml:space="preserve">9.1 Conventions</w:t>
      </w:r>
    </w:p>
    <w:p>
      <w:pPr>
        <w:pStyle w:val="ListParagraph"/>
        <w:numPr>
          <w:ilvl w:val="0"/>
          <w:numId w:val="2"/>
        </w:numPr>
        <w:spacing w:after="60"/>
      </w:pPr>
      <w:r>
        <w:rPr>
          <w:sz w:val="21"/>
          <w:szCs w:val="21"/>
        </w:rPr>
        <w:t xml:space="preserve">.env.example is committed and kept in sync with every environment variable the app actually reads — no undocumented required variable.</w:t>
      </w:r>
    </w:p>
    <w:p>
      <w:pPr>
        <w:pStyle w:val="ListParagraph"/>
        <w:numPr>
          <w:ilvl w:val="0"/>
          <w:numId w:val="2"/>
        </w:numPr>
        <w:spacing w:after="60"/>
      </w:pPr>
      <w:r>
        <w:rPr>
          <w:sz w:val="21"/>
          <w:szCs w:val="21"/>
        </w:rPr>
        <w:t xml:space="preserve">Environment variables are validated at process startup (e.g., a small Zod schema in each app) so a missing/malformed variable fails fast at boot, not at first use in production.</w:t>
      </w:r>
    </w:p>
    <w:p>
      <w:pPr>
        <w:pStyle w:val="ListParagraph"/>
        <w:numPr>
          <w:ilvl w:val="0"/>
          <w:numId w:val="2"/>
        </w:numPr>
        <w:spacing w:after="60"/>
      </w:pPr>
      <w:r>
        <w:rPr>
          <w:sz w:val="21"/>
          <w:szCs w:val="21"/>
        </w:rPr>
        <w:t xml:space="preserve">No environment-specific branching in application code (no if (env === "production") business logic) — only configuration values differ; behavior differences belong in feature flags, not env checks.</w:t>
      </w:r>
    </w:p>
    <w:p>
      <w:pPr>
        <w:spacing w:before="400"/>
      </w:pPr>
      <w:r>
        <w:rPr>
          <w:b/>
          <w:bCs/>
          <w:i/>
          <w:iCs/>
          <w:color w:val="1F3864"/>
          <w:sz w:val="21"/>
          <w:szCs w:val="21"/>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MAYA_X_2.0 — Monorepo Layout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2026-07-20T17:54:54.960Z</dcterms:created>
  <dcterms:modified xsi:type="dcterms:W3CDTF">2026-07-20T17:54:54.960Z</dcterms:modified>
</cp:coreProperties>
</file>

<file path=docProps/custom.xml><?xml version="1.0" encoding="utf-8"?>
<Properties xmlns="http://schemas.openxmlformats.org/officeDocument/2006/custom-properties" xmlns:vt="http://schemas.openxmlformats.org/officeDocument/2006/docPropsVTypes"/>
</file>