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80"/>
        <w:jc w:val="center"/>
      </w:pPr>
      <w:r>
        <w:rPr>
          <w:rFonts w:ascii="Arial" w:cs="Arial" w:eastAsia="Arial" w:hAnsi="Arial"/>
          <w:b/>
          <w:bCs/>
          <w:color w:val="1B3A5C"/>
          <w:sz w:val="48"/>
          <w:szCs w:val="48"/>
        </w:rPr>
        <w:t xml:space="preserve">CHECKLIST DES EXIGENCES ISO 9001:2015</w:t>
      </w:r>
    </w:p>
    <w:p>
      <w:pPr>
        <w:spacing w:after="80"/>
        <w:jc w:val="center"/>
      </w:pPr>
      <w:r>
        <w:rPr>
          <w:rFonts w:ascii="Arial" w:cs="Arial" w:eastAsia="Arial" w:hAnsi="Arial"/>
          <w:color w:val="2563A8"/>
          <w:sz w:val="24"/>
          <w:szCs w:val="24"/>
        </w:rPr>
        <w:t xml:space="preserve">Grille de mapping pré-audit — Preuves &amp; Enregistrements requis</w:t>
      </w:r>
    </w:p>
    <w:p>
      <w:pPr>
        <w:spacing w:after="24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NEXASOFT SAS  |  Audit interne prévu : 22-24 Avril 2025  |  Réf. CHK-ISO9001-2025-01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Référence</w:t>
            </w:r>
          </w:p>
        </w:tc>
        <w:tc>
          <w:tcPr>
            <w:tcW w:type="dxa" w:w="6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CHK-ISO9001-2025-01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Périmètre</w:t>
            </w:r>
          </w:p>
        </w:tc>
        <w:tc>
          <w:tcPr>
            <w:tcW w:type="dxa" w:w="6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SMQ complet — NEXASOFT SAS (Paris)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Référentiel</w:t>
            </w:r>
          </w:p>
        </w:tc>
        <w:tc>
          <w:tcPr>
            <w:tcW w:type="dxa" w:w="6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ISO 9001:2015 — Sections 4 à 10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Préparée par</w:t>
            </w:r>
          </w:p>
        </w:tc>
        <w:tc>
          <w:tcPr>
            <w:tcW w:type="dxa" w:w="6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M. Rachid Ferhat — Responsable Qualité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Date de préparation</w:t>
            </w:r>
          </w:p>
        </w:tc>
        <w:tc>
          <w:tcPr>
            <w:tcW w:type="dxa" w:w="6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10 Mars 2025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Usage</w:t>
            </w:r>
          </w:p>
        </w:tc>
        <w:tc>
          <w:tcPr>
            <w:tcW w:type="dxa" w:w="6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Pré-audit : mapping des preuves existantes / à collecter avant l'audit du 22 avril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Statut</w:t>
            </w:r>
          </w:p>
        </w:tc>
        <w:tc>
          <w:tcPr>
            <w:tcW w:type="dxa" w:w="6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Version 1.0 — En cours de complétion par les pilotes de processus</w:t>
            </w:r>
          </w:p>
        </w:tc>
      </w:tr>
    </w:tbl>
    <w:p>
      <w:r>
        <w:t xml:space="preserve"/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color w:val="6B7280"/>
          <w:sz w:val="22"/>
          <w:szCs w:val="22"/>
        </w:rPr>
        <w:t xml:space="preserve">Instruction aux pilotes de processus : Pour chaque exigence, indiquer le statut actuel (OK / NC / ?) et préciser la référence exacte du document ou enregistrement disponible dans la GED. Cette grille sera utilisée directement par l'auditeur lors des entretiens d'audit.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7"/>
        <w:gridCol w:w="2257"/>
      </w:tblGrid>
      <w:tr>
        <w:tc>
          <w:tcPr>
            <w:tcW w:type="dxa" w:w="22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653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OK — Conforme</w:t>
            </w:r>
          </w:p>
        </w:tc>
        <w:tc>
          <w:tcPr>
            <w:tcW w:type="dxa" w:w="22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991B1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NC — Non Conforme</w:t>
            </w:r>
          </w:p>
        </w:tc>
        <w:tc>
          <w:tcPr>
            <w:tcW w:type="dxa" w:w="225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92400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? — A vérifier</w:t>
            </w:r>
          </w:p>
        </w:tc>
        <w:tc>
          <w:tcPr>
            <w:tcW w:type="dxa" w:w="225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B728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 — Non applicable</w:t>
            </w:r>
          </w:p>
        </w:tc>
      </w:tr>
      <w:tr>
        <w:tc>
          <w:tcPr>
            <w:tcW w:type="dxa" w:w="22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Preuve disponible et satisfaisante</w:t>
            </w:r>
          </w:p>
        </w:tc>
        <w:tc>
          <w:tcPr>
            <w:tcW w:type="dxa" w:w="22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20"/>
                <w:szCs w:val="20"/>
              </w:rPr>
              <w:t xml:space="preserve">Écart avéré — action corrective requise</w:t>
            </w:r>
          </w:p>
        </w:tc>
        <w:tc>
          <w:tcPr>
            <w:tcW w:type="dxa" w:w="225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20"/>
                <w:szCs w:val="20"/>
              </w:rPr>
              <w:t xml:space="preserve">Preuve partielle ou à confirmer lors de l'audit</w:t>
            </w:r>
          </w:p>
        </w:tc>
        <w:tc>
          <w:tcPr>
            <w:tcW w:type="dxa" w:w="225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Exigence hors périmètre NEXASOFT</w:t>
            </w:r>
          </w:p>
        </w:tc>
      </w:tr>
    </w:tbl>
    <w:p>
      <w:r>
        <w:t xml:space="preserve"/>
      </w:r>
    </w:p>
    <w:p>
      <w:pPr>
        <w:pBdr>
          <w:bottom w:val="single" w:color="D1D5DB" w:sz="3" w:space="1"/>
        </w:pBdr>
        <w:spacing w:before="80" w:after="80"/>
      </w:pPr>
      <w:r>
        <w:t xml:space="preserve"/>
      </w:r>
    </w:p>
    <w:p>
      <w:r>
        <w:t xml:space="preserve"/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§ 4 — Contexte de l'organisme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2426"/>
        <w:gridCol w:w="850"/>
        <w:gridCol w:w="1650"/>
      </w:tblGrid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Clause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Exigence ISO 9001:2015</w:t>
            </w:r>
          </w:p>
        </w:tc>
        <w:tc>
          <w:tcPr>
            <w:tcW w:type="dxa" w:w="2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Preuve / Enregistrement attendu</w:t>
            </w:r>
          </w:p>
        </w:tc>
        <w:tc>
          <w:tcPr>
            <w:tcW w:type="dxa" w:w="8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  <w:tc>
          <w:tcPr>
            <w:tcW w:type="dxa" w:w="16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 / Doc interne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2563A8"/>
                <w:sz w:val="20"/>
                <w:szCs w:val="20"/>
              </w:rPr>
              <w:t xml:space="preserve">4.1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Détermination des enjeux internes et externes pertinents</w:t>
            </w:r>
          </w:p>
        </w:tc>
        <w:tc>
          <w:tcPr>
            <w:tcW w:type="dxa" w:w="2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Analyse PESTEL / SWOT documentée</w:t>
            </w:r>
          </w:p>
        </w:tc>
        <w:tc>
          <w:tcPr>
            <w:tcW w:type="dxa" w:w="8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OK</w:t>
            </w:r>
          </w:p>
        </w:tc>
        <w:tc>
          <w:tcPr>
            <w:tcW w:type="dxa" w:w="16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DOC-CTX-01 (SWOT 2024)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2563A8"/>
                <w:sz w:val="20"/>
                <w:szCs w:val="20"/>
              </w:rPr>
              <w:t xml:space="preserve">4.2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Identification des parties intéressées et de leurs exigences</w:t>
            </w:r>
          </w:p>
        </w:tc>
        <w:tc>
          <w:tcPr>
            <w:tcW w:type="dxa" w:w="2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Registre des parties intéressées</w:t>
            </w:r>
          </w:p>
        </w:tc>
        <w:tc>
          <w:tcPr>
            <w:tcW w:type="dxa" w:w="8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OK</w:t>
            </w:r>
          </w:p>
        </w:tc>
        <w:tc>
          <w:tcPr>
            <w:tcW w:type="dxa" w:w="16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REG-PI-2024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2563A8"/>
                <w:sz w:val="20"/>
                <w:szCs w:val="20"/>
              </w:rPr>
              <w:t xml:space="preserve">4.3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Détermination du domaine d'application du SMQ</w:t>
            </w:r>
          </w:p>
        </w:tc>
        <w:tc>
          <w:tcPr>
            <w:tcW w:type="dxa" w:w="2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Manuel qualité / document d'application</w:t>
            </w:r>
          </w:p>
        </w:tc>
        <w:tc>
          <w:tcPr>
            <w:tcW w:type="dxa" w:w="8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OK</w:t>
            </w:r>
          </w:p>
        </w:tc>
        <w:tc>
          <w:tcPr>
            <w:tcW w:type="dxa" w:w="16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MQ-NEXASOFT-v4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2563A8"/>
                <w:sz w:val="20"/>
                <w:szCs w:val="20"/>
              </w:rPr>
              <w:t xml:space="preserve">4.4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Établissement, mise en oeuvre et amélioration du SMQ</w:t>
            </w:r>
          </w:p>
        </w:tc>
        <w:tc>
          <w:tcPr>
            <w:tcW w:type="dxa" w:w="2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Cartographie des processus, fiches processus</w:t>
            </w:r>
          </w:p>
        </w:tc>
        <w:tc>
          <w:tcPr>
            <w:tcW w:type="dxa" w:w="8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OK</w:t>
            </w:r>
          </w:p>
        </w:tc>
        <w:tc>
          <w:tcPr>
            <w:tcW w:type="dxa" w:w="16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CART-PROC-2025</w:t>
            </w:r>
          </w:p>
        </w:tc>
      </w:tr>
    </w:tbl>
    <w:p>
      <w:r>
        <w:t xml:space="preserve"/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§ 5 — Leadership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2426"/>
        <w:gridCol w:w="850"/>
        <w:gridCol w:w="1650"/>
      </w:tblGrid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Clause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Exigence ISO 9001:2015</w:t>
            </w:r>
          </w:p>
        </w:tc>
        <w:tc>
          <w:tcPr>
            <w:tcW w:type="dxa" w:w="2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Preuve / Enregistrement attendu</w:t>
            </w:r>
          </w:p>
        </w:tc>
        <w:tc>
          <w:tcPr>
            <w:tcW w:type="dxa" w:w="8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  <w:tc>
          <w:tcPr>
            <w:tcW w:type="dxa" w:w="16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 / Doc interne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2563A8"/>
                <w:sz w:val="20"/>
                <w:szCs w:val="20"/>
              </w:rPr>
              <w:t xml:space="preserve">5.1.1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Démonstration du leadership et engagement de la direction</w:t>
            </w:r>
          </w:p>
        </w:tc>
        <w:tc>
          <w:tcPr>
            <w:tcW w:type="dxa" w:w="2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PV revue de direction, politique qualité signée DG</w:t>
            </w:r>
          </w:p>
        </w:tc>
        <w:tc>
          <w:tcPr>
            <w:tcW w:type="dxa" w:w="8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OK</w:t>
            </w:r>
          </w:p>
        </w:tc>
        <w:tc>
          <w:tcPr>
            <w:tcW w:type="dxa" w:w="16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PV-RD-2025-01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2563A8"/>
                <w:sz w:val="20"/>
                <w:szCs w:val="20"/>
              </w:rPr>
              <w:t xml:space="preserve">5.1.2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Orientation client — satisfaction et conformité légale</w:t>
            </w:r>
          </w:p>
        </w:tc>
        <w:tc>
          <w:tcPr>
            <w:tcW w:type="dxa" w:w="2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Résultats CSAT, veille réglementaire</w:t>
            </w:r>
          </w:p>
        </w:tc>
        <w:tc>
          <w:tcPr>
            <w:tcW w:type="dxa" w:w="8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OK</w:t>
            </w:r>
          </w:p>
        </w:tc>
        <w:tc>
          <w:tcPr>
            <w:tcW w:type="dxa" w:w="16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ENR-CSAT-2025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2563A8"/>
                <w:sz w:val="20"/>
                <w:szCs w:val="20"/>
              </w:rPr>
              <w:t xml:space="preserve">5.2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Définition, communication et révision de la politique qualité</w:t>
            </w:r>
          </w:p>
        </w:tc>
        <w:tc>
          <w:tcPr>
            <w:tcW w:type="dxa" w:w="2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Politique qualité affichée, enregistrements de communication</w:t>
            </w:r>
          </w:p>
        </w:tc>
        <w:tc>
          <w:tcPr>
            <w:tcW w:type="dxa" w:w="8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?</w:t>
            </w:r>
          </w:p>
        </w:tc>
        <w:tc>
          <w:tcPr>
            <w:tcW w:type="dxa" w:w="16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POL-Q-2025 — diffusion à vérifier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2563A8"/>
                <w:sz w:val="20"/>
                <w:szCs w:val="20"/>
              </w:rPr>
              <w:t xml:space="preserve">5.3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Définition et communication des rôles, responsabilités et autorités</w:t>
            </w:r>
          </w:p>
        </w:tc>
        <w:tc>
          <w:tcPr>
            <w:tcW w:type="dxa" w:w="2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Organigramme, fiches de poste, délégations de pouvoir</w:t>
            </w:r>
          </w:p>
        </w:tc>
        <w:tc>
          <w:tcPr>
            <w:tcW w:type="dxa" w:w="8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?</w:t>
            </w:r>
          </w:p>
        </w:tc>
        <w:tc>
          <w:tcPr>
            <w:tcW w:type="dxa" w:w="16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ORG-2025 — fiches poste à jour ?</w:t>
            </w:r>
          </w:p>
        </w:tc>
      </w:tr>
    </w:tbl>
    <w:p>
      <w:r>
        <w:t xml:space="preserve"/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§ 6 — Planification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2426"/>
        <w:gridCol w:w="850"/>
        <w:gridCol w:w="1650"/>
      </w:tblGrid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Clause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Exigence ISO 9001:2015</w:t>
            </w:r>
          </w:p>
        </w:tc>
        <w:tc>
          <w:tcPr>
            <w:tcW w:type="dxa" w:w="2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Preuve / Enregistrement attendu</w:t>
            </w:r>
          </w:p>
        </w:tc>
        <w:tc>
          <w:tcPr>
            <w:tcW w:type="dxa" w:w="8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  <w:tc>
          <w:tcPr>
            <w:tcW w:type="dxa" w:w="16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 / Doc interne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2563A8"/>
                <w:sz w:val="20"/>
                <w:szCs w:val="20"/>
              </w:rPr>
              <w:t xml:space="preserve">6.1.1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Identification des risques et opportunités du SMQ</w:t>
            </w:r>
          </w:p>
        </w:tc>
        <w:tc>
          <w:tcPr>
            <w:tcW w:type="dxa" w:w="2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Registre des risques et opportunités</w:t>
            </w:r>
          </w:p>
        </w:tc>
        <w:tc>
          <w:tcPr>
            <w:tcW w:type="dxa" w:w="8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OK</w:t>
            </w:r>
          </w:p>
        </w:tc>
        <w:tc>
          <w:tcPr>
            <w:tcW w:type="dxa" w:w="16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REG-RISQUES-2025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2563A8"/>
                <w:sz w:val="20"/>
                <w:szCs w:val="20"/>
              </w:rPr>
              <w:t xml:space="preserve">6.1.2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Planification des actions face aux risques et opportunités</w:t>
            </w:r>
          </w:p>
        </w:tc>
        <w:tc>
          <w:tcPr>
            <w:tcW w:type="dxa" w:w="2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Plan de traitement des risques, responsables, échéances</w:t>
            </w:r>
          </w:p>
        </w:tc>
        <w:tc>
          <w:tcPr>
            <w:tcW w:type="dxa" w:w="8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?</w:t>
            </w:r>
          </w:p>
        </w:tc>
        <w:tc>
          <w:tcPr>
            <w:tcW w:type="dxa" w:w="16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REG-RISQUES — colonne traitement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2563A8"/>
                <w:sz w:val="20"/>
                <w:szCs w:val="20"/>
              </w:rPr>
              <w:t xml:space="preserve">6.2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Objectifs qualité mesurables, suivis et communiqués</w:t>
            </w:r>
          </w:p>
        </w:tc>
        <w:tc>
          <w:tcPr>
            <w:tcW w:type="dxa" w:w="2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Objectifs qualité formalisés, tableau de bord</w:t>
            </w:r>
          </w:p>
        </w:tc>
        <w:tc>
          <w:tcPr>
            <w:tcW w:type="dxa" w:w="8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OK</w:t>
            </w:r>
          </w:p>
        </w:tc>
        <w:tc>
          <w:tcPr>
            <w:tcW w:type="dxa" w:w="16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OBJ-Q-2025 / TDB-Q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2563A8"/>
                <w:sz w:val="20"/>
                <w:szCs w:val="20"/>
              </w:rPr>
              <w:t xml:space="preserve">6.3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Planification des modifications du SMQ</w:t>
            </w:r>
          </w:p>
        </w:tc>
        <w:tc>
          <w:tcPr>
            <w:tcW w:type="dxa" w:w="2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Procédure de gestion du changement, enregistrements</w:t>
            </w:r>
          </w:p>
        </w:tc>
        <w:tc>
          <w:tcPr>
            <w:tcW w:type="dxa" w:w="8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?</w:t>
            </w:r>
          </w:p>
        </w:tc>
        <w:tc>
          <w:tcPr>
            <w:tcW w:type="dxa" w:w="16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PRO-CHGT-01 — à vérifier</w:t>
            </w:r>
          </w:p>
        </w:tc>
      </w:tr>
    </w:tbl>
    <w:p>
      <w:r>
        <w:t xml:space="preserve"/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§ 7 — Support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2426"/>
        <w:gridCol w:w="850"/>
        <w:gridCol w:w="1650"/>
      </w:tblGrid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Clause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Exigence ISO 9001:2015</w:t>
            </w:r>
          </w:p>
        </w:tc>
        <w:tc>
          <w:tcPr>
            <w:tcW w:type="dxa" w:w="2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Preuve / Enregistrement attendu</w:t>
            </w:r>
          </w:p>
        </w:tc>
        <w:tc>
          <w:tcPr>
            <w:tcW w:type="dxa" w:w="8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  <w:tc>
          <w:tcPr>
            <w:tcW w:type="dxa" w:w="16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 / Doc interne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2563A8"/>
                <w:sz w:val="20"/>
                <w:szCs w:val="20"/>
              </w:rPr>
              <w:t xml:space="preserve">7.1.1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Adéquation des ressources humaines au SMQ</w:t>
            </w:r>
          </w:p>
        </w:tc>
        <w:tc>
          <w:tcPr>
            <w:tcW w:type="dxa" w:w="2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Plan de charge, organigramme nominatif</w:t>
            </w:r>
          </w:p>
        </w:tc>
        <w:tc>
          <w:tcPr>
            <w:tcW w:type="dxa" w:w="8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OK</w:t>
            </w:r>
          </w:p>
        </w:tc>
        <w:tc>
          <w:tcPr>
            <w:tcW w:type="dxa" w:w="16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PLAN-RH-2025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2563A8"/>
                <w:sz w:val="20"/>
                <w:szCs w:val="20"/>
              </w:rPr>
              <w:t xml:space="preserve">7.1.3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Adéquation des infrastructures et environnement de travail</w:t>
            </w:r>
          </w:p>
        </w:tc>
        <w:tc>
          <w:tcPr>
            <w:tcW w:type="dxa" w:w="2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Registre des équipements, plan de maintenance</w:t>
            </w:r>
          </w:p>
        </w:tc>
        <w:tc>
          <w:tcPr>
            <w:tcW w:type="dxa" w:w="8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OK</w:t>
            </w:r>
          </w:p>
        </w:tc>
        <w:tc>
          <w:tcPr>
            <w:tcW w:type="dxa" w:w="16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REG-INFRA-2025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2563A8"/>
                <w:sz w:val="20"/>
                <w:szCs w:val="20"/>
              </w:rPr>
              <w:t xml:space="preserve">7.1.5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Maîtrise des ressources de surveillance et de mesure</w:t>
            </w:r>
          </w:p>
        </w:tc>
        <w:tc>
          <w:tcPr>
            <w:tcW w:type="dxa" w:w="2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Registre étalonnage, certificats d'étalonnage</w:t>
            </w:r>
          </w:p>
        </w:tc>
        <w:tc>
          <w:tcPr>
            <w:tcW w:type="dxa" w:w="8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OK</w:t>
            </w:r>
          </w:p>
        </w:tc>
        <w:tc>
          <w:tcPr>
            <w:tcW w:type="dxa" w:w="16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REG-ETAL-2025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2563A8"/>
                <w:sz w:val="20"/>
                <w:szCs w:val="20"/>
              </w:rPr>
              <w:t xml:space="preserve">7.1.6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Connaissances organisationnelles identifiées et maintenues</w:t>
            </w:r>
          </w:p>
        </w:tc>
        <w:tc>
          <w:tcPr>
            <w:tcW w:type="dxa" w:w="2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Base de connaissance, REX, procédures métier</w:t>
            </w:r>
          </w:p>
        </w:tc>
        <w:tc>
          <w:tcPr>
            <w:tcW w:type="dxa" w:w="8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NC</w:t>
            </w:r>
          </w:p>
        </w:tc>
        <w:tc>
          <w:tcPr>
            <w:tcW w:type="dxa" w:w="16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KB Confluence — incomplète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2563A8"/>
                <w:sz w:val="20"/>
                <w:szCs w:val="20"/>
              </w:rPr>
              <w:t xml:space="preserve">7.2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Compétences requises déterminées, formations réalisées et enregistrées</w:t>
            </w:r>
          </w:p>
        </w:tc>
        <w:tc>
          <w:tcPr>
            <w:tcW w:type="dxa" w:w="2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Fiches de compétences, plans de formation, attestations</w:t>
            </w:r>
          </w:p>
        </w:tc>
        <w:tc>
          <w:tcPr>
            <w:tcW w:type="dxa" w:w="8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NC</w:t>
            </w:r>
          </w:p>
        </w:tc>
        <w:tc>
          <w:tcPr>
            <w:tcW w:type="dxa" w:w="16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FORM-2025 — 50% réalisé seulement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2563A8"/>
                <w:sz w:val="20"/>
                <w:szCs w:val="20"/>
              </w:rPr>
              <w:t xml:space="preserve">7.3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Sensibilisation à la politique qualité et aux impacts individuels</w:t>
            </w:r>
          </w:p>
        </w:tc>
        <w:tc>
          <w:tcPr>
            <w:tcW w:type="dxa" w:w="2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Compte-rendus sensibilisation, registre de diffusion signé</w:t>
            </w:r>
          </w:p>
        </w:tc>
        <w:tc>
          <w:tcPr>
            <w:tcW w:type="dxa" w:w="8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?</w:t>
            </w:r>
          </w:p>
        </w:tc>
        <w:tc>
          <w:tcPr>
            <w:tcW w:type="dxa" w:w="16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Pas de registre diffusion formel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2563A8"/>
                <w:sz w:val="20"/>
                <w:szCs w:val="20"/>
              </w:rPr>
              <w:t xml:space="preserve">7.4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Communication interne et externe planifiée</w:t>
            </w:r>
          </w:p>
        </w:tc>
        <w:tc>
          <w:tcPr>
            <w:tcW w:type="dxa" w:w="2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Plan de communication, preuves de diffusion</w:t>
            </w:r>
          </w:p>
        </w:tc>
        <w:tc>
          <w:tcPr>
            <w:tcW w:type="dxa" w:w="8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OK</w:t>
            </w:r>
          </w:p>
        </w:tc>
        <w:tc>
          <w:tcPr>
            <w:tcW w:type="dxa" w:w="16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PLAN-COM-2025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2563A8"/>
                <w:sz w:val="20"/>
                <w:szCs w:val="20"/>
              </w:rPr>
              <w:t xml:space="preserve">7.5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Maîtrise des informations documentées (création, MAJ, accès, protection)</w:t>
            </w:r>
          </w:p>
        </w:tc>
        <w:tc>
          <w:tcPr>
            <w:tcW w:type="dxa" w:w="2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Procédure GED, liste des documents maîtrisés</w:t>
            </w:r>
          </w:p>
        </w:tc>
        <w:tc>
          <w:tcPr>
            <w:tcW w:type="dxa" w:w="8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OK</w:t>
            </w:r>
          </w:p>
        </w:tc>
        <w:tc>
          <w:tcPr>
            <w:tcW w:type="dxa" w:w="16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PRO-GED-01 v4</w:t>
            </w:r>
          </w:p>
        </w:tc>
      </w:tr>
    </w:tbl>
    <w:p>
      <w:r>
        <w:t xml:space="preserve"/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§ 8 — Réalisation des activités opérationnelles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2426"/>
        <w:gridCol w:w="850"/>
        <w:gridCol w:w="1650"/>
      </w:tblGrid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Clause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Exigence ISO 9001:2015</w:t>
            </w:r>
          </w:p>
        </w:tc>
        <w:tc>
          <w:tcPr>
            <w:tcW w:type="dxa" w:w="2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Preuve / Enregistrement attendu</w:t>
            </w:r>
          </w:p>
        </w:tc>
        <w:tc>
          <w:tcPr>
            <w:tcW w:type="dxa" w:w="8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  <w:tc>
          <w:tcPr>
            <w:tcW w:type="dxa" w:w="16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 / Doc interne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2563A8"/>
                <w:sz w:val="20"/>
                <w:szCs w:val="20"/>
              </w:rPr>
              <w:t xml:space="preserve">8.1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Planification et maîtrise opérationnelle — critères, ressources, enregistrements</w:t>
            </w:r>
          </w:p>
        </w:tc>
        <w:tc>
          <w:tcPr>
            <w:tcW w:type="dxa" w:w="2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Fiches processus, modes opératoires, plans projets</w:t>
            </w:r>
          </w:p>
        </w:tc>
        <w:tc>
          <w:tcPr>
            <w:tcW w:type="dxa" w:w="8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?</w:t>
            </w:r>
          </w:p>
        </w:tc>
        <w:tc>
          <w:tcPr>
            <w:tcW w:type="dxa" w:w="16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MO à vérifier (MO-SUP-03, -07 obsolètes)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2563A8"/>
                <w:sz w:val="20"/>
                <w:szCs w:val="20"/>
              </w:rPr>
              <w:t xml:space="preserve">8.2.1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Communication avec les clients (informations, réclamations, retours)</w:t>
            </w:r>
          </w:p>
        </w:tc>
        <w:tc>
          <w:tcPr>
            <w:tcW w:type="dxa" w:w="2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Procédure réclamations, enregistrements échanges clients</w:t>
            </w:r>
          </w:p>
        </w:tc>
        <w:tc>
          <w:tcPr>
            <w:tcW w:type="dxa" w:w="8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OK</w:t>
            </w:r>
          </w:p>
        </w:tc>
        <w:tc>
          <w:tcPr>
            <w:tcW w:type="dxa" w:w="16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PRO-REC-02 / ENR-RECL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2563A8"/>
                <w:sz w:val="20"/>
                <w:szCs w:val="20"/>
              </w:rPr>
              <w:t xml:space="preserve">8.2.2 / 8.2.3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Détermination et revue des exigences relatives aux produits/services</w:t>
            </w:r>
          </w:p>
        </w:tc>
        <w:tc>
          <w:tcPr>
            <w:tcW w:type="dxa" w:w="2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Contrats, cahiers des charges, comptes-rendus de revue</w:t>
            </w:r>
          </w:p>
        </w:tc>
        <w:tc>
          <w:tcPr>
            <w:tcW w:type="dxa" w:w="8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OK</w:t>
            </w:r>
          </w:p>
        </w:tc>
        <w:tc>
          <w:tcPr>
            <w:tcW w:type="dxa" w:w="16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Contrats clients signés / CR revue contractuelle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2563A8"/>
                <w:sz w:val="20"/>
                <w:szCs w:val="20"/>
              </w:rPr>
              <w:t xml:space="preserve">8.3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Maîtrise de la conception et du développement (si applicable)</w:t>
            </w:r>
          </w:p>
        </w:tc>
        <w:tc>
          <w:tcPr>
            <w:tcW w:type="dxa" w:w="2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Plan de développement, revues de conception, validation</w:t>
            </w:r>
          </w:p>
        </w:tc>
        <w:tc>
          <w:tcPr>
            <w:tcW w:type="dxa" w:w="8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OK</w:t>
            </w:r>
          </w:p>
        </w:tc>
        <w:tc>
          <w:tcPr>
            <w:tcW w:type="dxa" w:w="16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PLAN-DEV-2025 / CR-REVUE-DEV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2563A8"/>
                <w:sz w:val="20"/>
                <w:szCs w:val="20"/>
              </w:rPr>
              <w:t xml:space="preserve">8.4.1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Maîtrise des processus, produits et services fournis par des prestataires externes</w:t>
            </w:r>
          </w:p>
        </w:tc>
        <w:tc>
          <w:tcPr>
            <w:tcW w:type="dxa" w:w="2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Critères évaluation fournisseurs, registre évaluations</w:t>
            </w:r>
          </w:p>
        </w:tc>
        <w:tc>
          <w:tcPr>
            <w:tcW w:type="dxa" w:w="8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NC</w:t>
            </w:r>
          </w:p>
        </w:tc>
        <w:tc>
          <w:tcPr>
            <w:tcW w:type="dxa" w:w="16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REG-FOURN — 2 fournisseurs non évalués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2563A8"/>
                <w:sz w:val="20"/>
                <w:szCs w:val="20"/>
              </w:rPr>
              <w:t xml:space="preserve">8.4.3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Informations communiquées aux prestataires externes</w:t>
            </w:r>
          </w:p>
        </w:tc>
        <w:tc>
          <w:tcPr>
            <w:tcW w:type="dxa" w:w="2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Cahier des charges sous-traitants, contrats de service</w:t>
            </w:r>
          </w:p>
        </w:tc>
        <w:tc>
          <w:tcPr>
            <w:tcW w:type="dxa" w:w="8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OK</w:t>
            </w:r>
          </w:p>
        </w:tc>
        <w:tc>
          <w:tcPr>
            <w:tcW w:type="dxa" w:w="16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Contrats ST disponibles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2563A8"/>
                <w:sz w:val="20"/>
                <w:szCs w:val="20"/>
              </w:rPr>
              <w:t xml:space="preserve">8.5.1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Maîtrise de la production et de la prestation de service</w:t>
            </w:r>
          </w:p>
        </w:tc>
        <w:tc>
          <w:tcPr>
            <w:tcW w:type="dxa" w:w="2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Modes opératoires, gammes, fiches suiveuses projets</w:t>
            </w:r>
          </w:p>
        </w:tc>
        <w:tc>
          <w:tcPr>
            <w:tcW w:type="dxa" w:w="8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?</w:t>
            </w:r>
          </w:p>
        </w:tc>
        <w:tc>
          <w:tcPr>
            <w:tcW w:type="dxa" w:w="16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Certains MO non révisés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2563A8"/>
                <w:sz w:val="20"/>
                <w:szCs w:val="20"/>
              </w:rPr>
              <w:t xml:space="preserve">8.5.2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Identification et traçabilité</w:t>
            </w:r>
          </w:p>
        </w:tc>
        <w:tc>
          <w:tcPr>
            <w:tcW w:type="dxa" w:w="2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Numéros de version, logs, enregistrements de traçabilité</w:t>
            </w:r>
          </w:p>
        </w:tc>
        <w:tc>
          <w:tcPr>
            <w:tcW w:type="dxa" w:w="8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OK</w:t>
            </w:r>
          </w:p>
        </w:tc>
        <w:tc>
          <w:tcPr>
            <w:tcW w:type="dxa" w:w="16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Git + Zendesk — traçabilité assurée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2563A8"/>
                <w:sz w:val="20"/>
                <w:szCs w:val="20"/>
              </w:rPr>
              <w:t xml:space="preserve">8.5.6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Maîtrise des modifications</w:t>
            </w:r>
          </w:p>
        </w:tc>
        <w:tc>
          <w:tcPr>
            <w:tcW w:type="dxa" w:w="2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Procédure de gestion des changements, registre des modifications</w:t>
            </w:r>
          </w:p>
        </w:tc>
        <w:tc>
          <w:tcPr>
            <w:tcW w:type="dxa" w:w="8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?</w:t>
            </w:r>
          </w:p>
        </w:tc>
        <w:tc>
          <w:tcPr>
            <w:tcW w:type="dxa" w:w="16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PRO-CHGT — suivi à formaliser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2563A8"/>
                <w:sz w:val="20"/>
                <w:szCs w:val="20"/>
              </w:rPr>
              <w:t xml:space="preserve">8.6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Libération des produits et services — critères de conformité</w:t>
            </w:r>
          </w:p>
        </w:tc>
        <w:tc>
          <w:tcPr>
            <w:tcW w:type="dxa" w:w="2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Critères de recette, PV de recette signés, checklist livraison</w:t>
            </w:r>
          </w:p>
        </w:tc>
        <w:tc>
          <w:tcPr>
            <w:tcW w:type="dxa" w:w="8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OK</w:t>
            </w:r>
          </w:p>
        </w:tc>
        <w:tc>
          <w:tcPr>
            <w:tcW w:type="dxa" w:w="16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PV-RECETTE / CHK-LIV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2563A8"/>
                <w:sz w:val="20"/>
                <w:szCs w:val="20"/>
              </w:rPr>
              <w:t xml:space="preserve">8.7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Maîtrise des éléments de sortie non conformes</w:t>
            </w:r>
          </w:p>
        </w:tc>
        <w:tc>
          <w:tcPr>
            <w:tcW w:type="dxa" w:w="2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Procédure NC, registre des NC, enregistrements de traitement</w:t>
            </w:r>
          </w:p>
        </w:tc>
        <w:tc>
          <w:tcPr>
            <w:tcW w:type="dxa" w:w="8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OK</w:t>
            </w:r>
          </w:p>
        </w:tc>
        <w:tc>
          <w:tcPr>
            <w:tcW w:type="dxa" w:w="16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PRO-NC-01 / REG-NC-2025</w:t>
            </w:r>
          </w:p>
        </w:tc>
      </w:tr>
    </w:tbl>
    <w:p>
      <w:r>
        <w:t xml:space="preserve"/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§ 9 — Évaluation des performances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2426"/>
        <w:gridCol w:w="850"/>
        <w:gridCol w:w="1650"/>
      </w:tblGrid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Clause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Exigence ISO 9001:2015</w:t>
            </w:r>
          </w:p>
        </w:tc>
        <w:tc>
          <w:tcPr>
            <w:tcW w:type="dxa" w:w="2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Preuve / Enregistrement attendu</w:t>
            </w:r>
          </w:p>
        </w:tc>
        <w:tc>
          <w:tcPr>
            <w:tcW w:type="dxa" w:w="8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  <w:tc>
          <w:tcPr>
            <w:tcW w:type="dxa" w:w="16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 / Doc interne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2563A8"/>
                <w:sz w:val="20"/>
                <w:szCs w:val="20"/>
              </w:rPr>
              <w:t xml:space="preserve">9.1.1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Surveillance, mesure, analyse et évaluation des processus</w:t>
            </w:r>
          </w:p>
        </w:tc>
        <w:tc>
          <w:tcPr>
            <w:tcW w:type="dxa" w:w="2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Tableau de bord qualité, indicateurs documentés</w:t>
            </w:r>
          </w:p>
        </w:tc>
        <w:tc>
          <w:tcPr>
            <w:tcW w:type="dxa" w:w="8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OK</w:t>
            </w:r>
          </w:p>
        </w:tc>
        <w:tc>
          <w:tcPr>
            <w:tcW w:type="dxa" w:w="16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TDB-Q mensuel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2563A8"/>
                <w:sz w:val="20"/>
                <w:szCs w:val="20"/>
              </w:rPr>
              <w:t xml:space="preserve">9.1.2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Satisfaction des clients mesurée et analysée</w:t>
            </w:r>
          </w:p>
        </w:tc>
        <w:tc>
          <w:tcPr>
            <w:tcW w:type="dxa" w:w="2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Enquêtes CSAT, synthèses, actions issues des résultats</w:t>
            </w:r>
          </w:p>
        </w:tc>
        <w:tc>
          <w:tcPr>
            <w:tcW w:type="dxa" w:w="8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OK</w:t>
            </w:r>
          </w:p>
        </w:tc>
        <w:tc>
          <w:tcPr>
            <w:tcW w:type="dxa" w:w="16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ENR-CSAT + Rapport CSAT Q4 2024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2563A8"/>
                <w:sz w:val="20"/>
                <w:szCs w:val="20"/>
              </w:rPr>
              <w:t xml:space="preserve">9.1.3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Analyse et évaluation des données issues de la surveillance</w:t>
            </w:r>
          </w:p>
        </w:tc>
        <w:tc>
          <w:tcPr>
            <w:tcW w:type="dxa" w:w="2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Comptes-rendus d'analyse, rapports de performance</w:t>
            </w:r>
          </w:p>
        </w:tc>
        <w:tc>
          <w:tcPr>
            <w:tcW w:type="dxa" w:w="8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OK</w:t>
            </w:r>
          </w:p>
        </w:tc>
        <w:tc>
          <w:tcPr>
            <w:tcW w:type="dxa" w:w="16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PV-RQ mensuel / Rapport qualité annuel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2563A8"/>
                <w:sz w:val="20"/>
                <w:szCs w:val="20"/>
              </w:rPr>
              <w:t xml:space="preserve">9.2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Audit interne planifié, réalisé et enregistré selon programme</w:t>
            </w:r>
          </w:p>
        </w:tc>
        <w:tc>
          <w:tcPr>
            <w:tcW w:type="dxa" w:w="2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Programme d'audit, rapports d'audit, suivi des NC audit</w:t>
            </w:r>
          </w:p>
        </w:tc>
        <w:tc>
          <w:tcPr>
            <w:tcW w:type="dxa" w:w="8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OK</w:t>
            </w:r>
          </w:p>
        </w:tc>
        <w:tc>
          <w:tcPr>
            <w:tcW w:type="dxa" w:w="16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PROG-AUDIT-2025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2563A8"/>
                <w:sz w:val="20"/>
                <w:szCs w:val="20"/>
              </w:rPr>
              <w:t xml:space="preserve">9.3.1 / 9.3.2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Revue de direction réalisée avec entrées et sorties conformes</w:t>
            </w:r>
          </w:p>
        </w:tc>
        <w:tc>
          <w:tcPr>
            <w:tcW w:type="dxa" w:w="2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PV de revue de direction, décisions documentées et suivies</w:t>
            </w:r>
          </w:p>
        </w:tc>
        <w:tc>
          <w:tcPr>
            <w:tcW w:type="dxa" w:w="8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OK</w:t>
            </w:r>
          </w:p>
        </w:tc>
        <w:tc>
          <w:tcPr>
            <w:tcW w:type="dxa" w:w="16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PV-RD-2025-01</w:t>
            </w:r>
          </w:p>
        </w:tc>
      </w:tr>
    </w:tbl>
    <w:p>
      <w:r>
        <w:t xml:space="preserve"/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§ 10 — Amélioration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2426"/>
        <w:gridCol w:w="850"/>
        <w:gridCol w:w="1650"/>
      </w:tblGrid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Clause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Exigence ISO 9001:2015</w:t>
            </w:r>
          </w:p>
        </w:tc>
        <w:tc>
          <w:tcPr>
            <w:tcW w:type="dxa" w:w="2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Preuve / Enregistrement attendu</w:t>
            </w:r>
          </w:p>
        </w:tc>
        <w:tc>
          <w:tcPr>
            <w:tcW w:type="dxa" w:w="8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  <w:tc>
          <w:tcPr>
            <w:tcW w:type="dxa" w:w="16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 / Doc interne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2563A8"/>
                <w:sz w:val="20"/>
                <w:szCs w:val="20"/>
              </w:rPr>
              <w:t xml:space="preserve">10.1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Opportunités d'amélioration déterminées et actions engagées</w:t>
            </w:r>
          </w:p>
        </w:tc>
        <w:tc>
          <w:tcPr>
            <w:tcW w:type="dxa" w:w="2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Registre des opportunités, fiches d'amélioration</w:t>
            </w:r>
          </w:p>
        </w:tc>
        <w:tc>
          <w:tcPr>
            <w:tcW w:type="dxa" w:w="8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OK</w:t>
            </w:r>
          </w:p>
        </w:tc>
        <w:tc>
          <w:tcPr>
            <w:tcW w:type="dxa" w:w="16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REG-AMELIO / Fiches ARP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2563A8"/>
                <w:sz w:val="20"/>
                <w:szCs w:val="20"/>
              </w:rPr>
              <w:t xml:space="preserve">10.2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NC et actions correctives analysées, causes identifiées, efficacité vérifiée</w:t>
            </w:r>
          </w:p>
        </w:tc>
        <w:tc>
          <w:tcPr>
            <w:tcW w:type="dxa" w:w="2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Fiches CAPA, analyse causes racines (5P / Ishikawa)</w:t>
            </w:r>
          </w:p>
        </w:tc>
        <w:tc>
          <w:tcPr>
            <w:tcW w:type="dxa" w:w="8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NC</w:t>
            </w:r>
          </w:p>
        </w:tc>
        <w:tc>
          <w:tcPr>
            <w:tcW w:type="dxa" w:w="16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AC-25-03 — cause racine non formalisée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2563A8"/>
                <w:sz w:val="20"/>
                <w:szCs w:val="20"/>
              </w:rPr>
              <w:t xml:space="preserve">10.3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Amélioration continue du SMQ démontrée par des résultats mesurables</w:t>
            </w:r>
          </w:p>
        </w:tc>
        <w:tc>
          <w:tcPr>
            <w:tcW w:type="dxa" w:w="2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Rapport d'amélioration annuel, évolution des indicateurs</w:t>
            </w:r>
          </w:p>
        </w:tc>
        <w:tc>
          <w:tcPr>
            <w:tcW w:type="dxa" w:w="8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OK</w:t>
            </w:r>
          </w:p>
        </w:tc>
        <w:tc>
          <w:tcPr>
            <w:tcW w:type="dxa" w:w="16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Rapport Amélioration 2024</w:t>
            </w:r>
          </w:p>
        </w:tc>
      </w:tr>
    </w:tbl>
    <w:p>
      <w:r>
        <w:t xml:space="preserve"/>
      </w:r>
    </w:p>
    <w:p>
      <w:pPr>
        <w:pBdr>
          <w:bottom w:val="single" w:color="D1D5DB" w:sz="3" w:space="1"/>
        </w:pBdr>
        <w:spacing w:before="80" w:after="80"/>
      </w:pPr>
      <w:r>
        <w:t xml:space="preserve"/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7"/>
        <w:gridCol w:w="1507"/>
        <w:gridCol w:w="1506"/>
        <w:gridCol w:w="1506"/>
        <w:gridCol w:w="1500"/>
        <w:gridCol w:w="1500"/>
      </w:tblGrid>
      <w:tr>
        <w:tc>
          <w:tcPr>
            <w:tcW w:type="dxa" w:w="150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clauses</w:t>
            </w:r>
          </w:p>
        </w:tc>
        <w:tc>
          <w:tcPr>
            <w:tcW w:type="dxa" w:w="150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653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OK</w:t>
            </w:r>
          </w:p>
        </w:tc>
        <w:tc>
          <w:tcPr>
            <w:tcW w:type="dxa" w:w="15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991B1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NC</w:t>
            </w:r>
          </w:p>
        </w:tc>
        <w:tc>
          <w:tcPr>
            <w:tcW w:type="dxa" w:w="15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92400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À vérifier (?)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B728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Taux conformité</w:t>
            </w:r>
          </w:p>
        </w:tc>
      </w:tr>
      <w:tr>
        <w:tc>
          <w:tcPr>
            <w:tcW w:type="dxa" w:w="150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33</w:t>
            </w:r>
          </w:p>
        </w:tc>
        <w:tc>
          <w:tcPr>
            <w:tcW w:type="dxa" w:w="150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20</w:t>
            </w:r>
          </w:p>
        </w:tc>
        <w:tc>
          <w:tcPr>
            <w:tcW w:type="dxa" w:w="15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4</w:t>
            </w:r>
          </w:p>
        </w:tc>
        <w:tc>
          <w:tcPr>
            <w:tcW w:type="dxa" w:w="15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9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0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61%*</w:t>
            </w:r>
          </w:p>
        </w:tc>
      </w:tr>
    </w:tbl>
    <w:p>
      <w:r>
        <w:t xml:space="preserve"/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color w:val="6B7280"/>
          <w:sz w:val="22"/>
          <w:szCs w:val="22"/>
        </w:rPr>
        <w:t xml:space="preserve">* Taux calculé sur les seuls points confirmés. Les 9 points « à vérifier » seront statués lors des entretiens d'audit du 22-24 avril 2025.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Responsable Qualité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Validé par Directrice Qualité</w:t>
            </w:r>
          </w:p>
        </w:tc>
      </w:tr>
      <w:tr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M. Rachid Ferhat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Mme. Soraya Chabane</w:t>
            </w:r>
          </w:p>
        </w:tc>
      </w:tr>
      <w:tr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Signature : ___________________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Signature : ___________________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5DB" w:sz="3" w:space="4"/>
      </w:pBdr>
      <w:spacing w:before="80"/>
      <w:jc w:val="center"/>
    </w:pPr>
    <w:r>
      <w:rPr>
        <w:rFonts w:ascii="Arial" w:cs="Arial" w:eastAsia="Arial" w:hAnsi="Arial"/>
        <w:color w:val="6B7280"/>
        <w:sz w:val="17"/>
        <w:szCs w:val="17"/>
      </w:rPr>
      <w:t xml:space="preserve">Document interne confidentiel — NEXASOFT SAS — Page </w:t>
    </w:r>
    <w:r>
      <w:rPr>
        <w:rFonts w:ascii="Arial" w:cs="Arial" w:eastAsia="Arial" w:hAnsi="Arial"/>
        <w:color w:val="6B7280"/>
        <w:sz w:val="17"/>
        <w:szCs w:val="17"/>
      </w:rPr>
      <w:pgNum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A8" w:sz="3" w:space="4"/>
      </w:pBdr>
      <w:spacing w:after="120"/>
      <w:jc w:val="right"/>
    </w:pPr>
    <w:r>
      <w:rPr>
        <w:rFonts w:ascii="Arial" w:cs="Arial" w:eastAsia="Arial" w:hAnsi="Arial"/>
        <w:color w:val="6B7280"/>
        <w:sz w:val="17"/>
        <w:szCs w:val="17"/>
      </w:rPr>
      <w:t xml:space="preserve">NEXASOFT SAS  |  Checklist Exigences ISO 9001:2015  |  CHK-ISO9001-2025-01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B3A5C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2563A8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2026-03-29T11:15:48.590Z</dcterms:created>
  <dcterms:modified xsi:type="dcterms:W3CDTF">2026-03-29T11:15:48.590Z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