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Energy market memo on renewables and storage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This text discusses solar generation, wind farms, grid balancing, storage assets,</w:t>
      </w:r>
    </w:p>
    <w:p>
      <w:pPr>
        <w:pStyle w:val="PreformattedText"/>
        <w:bidi w:val="0"/>
        <w:spacing w:before="0" w:after="0"/>
        <w:jc w:val="left"/>
        <w:rPr/>
      </w:pPr>
      <w:r>
        <w:rPr/>
        <w:t>curtailment and transmission expansion. The dominant vocabulary is about renewable</w:t>
      </w:r>
    </w:p>
    <w:p>
      <w:pPr>
        <w:pStyle w:val="PreformattedText"/>
        <w:bidi w:val="0"/>
        <w:spacing w:before="0" w:after="0"/>
        <w:jc w:val="left"/>
        <w:rPr/>
      </w:pPr>
      <w:r>
        <w:rPr/>
        <w:t>energy integration and battery economics.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The document focuses on electricity markets, flexible capacity and storage</w:t>
      </w:r>
    </w:p>
    <w:p>
      <w:pPr>
        <w:pStyle w:val="PreformattedText"/>
        <w:bidi w:val="0"/>
        <w:spacing w:before="0" w:after="0"/>
        <w:jc w:val="left"/>
        <w:rPr/>
      </w:pPr>
      <w:r>
        <w:rPr/>
        <w:t>investment rather than on nuclear engineering terminology.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