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https://docs.microsoft.com/es-es/dotnet/standard/modern-web-apps-azure-architecture/co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mmon-web-application-architectures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Clean Architecture</w:t>
      </w:r>
      <w:r w:rsidDel="00000000" w:rsidR="00000000" w:rsidRPr="00000000">
        <w:rPr>
          <w:rtl w:val="0"/>
        </w:rPr>
        <w:t xml:space="preserve"> (La arquitectura limpia)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"https://8thlight.com/blog/uncle-bob/2012/08/13/the-clean-architecture.html"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https://8thlight.com/blog/uncle-bob/2012/08/13/the-clean-architecture.html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The Onion Architecture</w:t>
      </w:r>
      <w:r w:rsidDel="00000000" w:rsidR="00000000" w:rsidRPr="00000000">
        <w:rPr>
          <w:rtl w:val="0"/>
        </w:rPr>
        <w:t xml:space="preserve"> (La arquitectura cebolla)</w:t>
        <w:br w:type="textWrapping"/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"https://jeffreypalermo.com/blog/the-onion-architecture-part-1/"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https://jeffreypalermo.com/blog/the-onion-architecture-part-1/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The Repository Pattern</w:t>
      </w:r>
      <w:r w:rsidDel="00000000" w:rsidR="00000000" w:rsidRPr="00000000">
        <w:rPr>
          <w:rtl w:val="0"/>
        </w:rPr>
        <w:t xml:space="preserve"> (El modelo de repositorio)</w:t>
        <w:br w:type="textWrapping"/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"https://deviq.com/repository-pattern/"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https://deviq.com/repository-pattern/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Clean Architecture Solution Sample</w:t>
      </w:r>
      <w:r w:rsidDel="00000000" w:rsidR="00000000" w:rsidRPr="00000000">
        <w:rPr>
          <w:rtl w:val="0"/>
        </w:rPr>
        <w:t xml:space="preserve"> (Ejemplo de solución de arquitectura limpia)</w:t>
        <w:br w:type="textWrapping"/>
      </w:r>
      <w:hyperlink r:id="rId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"https://github.com/ardalis/cleanarchitecture"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https://github.com/ardalis/cleanarchitecture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"https://aka.ms/MicroservicesEbook"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dalis/cleanarchitecture" TargetMode="External"/><Relationship Id="rId5" Type="http://schemas.openxmlformats.org/officeDocument/2006/relationships/styles" Target="styles.xml"/><Relationship Id="rId6" Type="http://schemas.openxmlformats.org/officeDocument/2006/relationships/hyperlink" Target="https://8thlight.com/blog/uncle-bob/2012/08/13/the-clean-architecture.html" TargetMode="External"/><Relationship Id="rId7" Type="http://schemas.openxmlformats.org/officeDocument/2006/relationships/hyperlink" Target="https://jeffreypalermo.com/blog/the-onion-architecture-part-1/" TargetMode="External"/><Relationship Id="rId8" Type="http://schemas.openxmlformats.org/officeDocument/2006/relationships/hyperlink" Target="https://deviq.com/repository-patte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